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441A" w14:textId="2344782E" w:rsidR="0060664E" w:rsidRDefault="0060664E">
      <w:bookmarkStart w:id="0" w:name="_GoBack"/>
      <w:bookmarkEnd w:id="0"/>
    </w:p>
    <w:p w14:paraId="14C343E5" w14:textId="77777777" w:rsidR="00EB7600" w:rsidRDefault="00EB7600"/>
    <w:tbl>
      <w:tblPr>
        <w:tblpPr w:leftFromText="180" w:rightFromText="180" w:vertAnchor="text" w:horzAnchor="margin" w:tblpXSpec="center" w:tblpY="-50"/>
        <w:tblW w:w="21820" w:type="dxa"/>
        <w:tblLook w:val="04A0" w:firstRow="1" w:lastRow="0" w:firstColumn="1" w:lastColumn="0" w:noHBand="0" w:noVBand="1"/>
      </w:tblPr>
      <w:tblGrid>
        <w:gridCol w:w="2213"/>
        <w:gridCol w:w="875"/>
        <w:gridCol w:w="1273"/>
        <w:gridCol w:w="1154"/>
        <w:gridCol w:w="1722"/>
        <w:gridCol w:w="2261"/>
        <w:gridCol w:w="1716"/>
        <w:gridCol w:w="1301"/>
        <w:gridCol w:w="1301"/>
        <w:gridCol w:w="2213"/>
        <w:gridCol w:w="1290"/>
        <w:gridCol w:w="1197"/>
        <w:gridCol w:w="2202"/>
        <w:gridCol w:w="1102"/>
      </w:tblGrid>
      <w:tr w:rsidR="00F02543" w:rsidRPr="00F02543" w14:paraId="06582E34" w14:textId="77777777" w:rsidTr="006A2C12">
        <w:trPr>
          <w:trHeight w:val="1440"/>
        </w:trPr>
        <w:tc>
          <w:tcPr>
            <w:tcW w:w="221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7396D83"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 xml:space="preserve">Назив на </w:t>
            </w:r>
            <w:r w:rsidRPr="00F02543">
              <w:rPr>
                <w:rFonts w:ascii="Arial" w:eastAsia="Times New Roman" w:hAnsi="Arial" w:cs="Arial"/>
                <w:sz w:val="16"/>
                <w:szCs w:val="16"/>
              </w:rPr>
              <w:t>оператор на јавна електронска комуникациска мрежа</w:t>
            </w:r>
          </w:p>
        </w:tc>
        <w:tc>
          <w:tcPr>
            <w:tcW w:w="875" w:type="dxa"/>
            <w:tcBorders>
              <w:top w:val="single" w:sz="4" w:space="0" w:color="auto"/>
              <w:left w:val="nil"/>
              <w:bottom w:val="single" w:sz="4" w:space="0" w:color="auto"/>
              <w:right w:val="single" w:sz="4" w:space="0" w:color="auto"/>
            </w:tcBorders>
            <w:shd w:val="clear" w:color="000000" w:fill="C5D9F1"/>
            <w:vAlign w:val="center"/>
            <w:hideMark/>
          </w:tcPr>
          <w:p w14:paraId="212B3327"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Град</w:t>
            </w:r>
          </w:p>
        </w:tc>
        <w:tc>
          <w:tcPr>
            <w:tcW w:w="1273" w:type="dxa"/>
            <w:tcBorders>
              <w:top w:val="single" w:sz="4" w:space="0" w:color="auto"/>
              <w:left w:val="nil"/>
              <w:bottom w:val="single" w:sz="4" w:space="0" w:color="auto"/>
              <w:right w:val="single" w:sz="4" w:space="0" w:color="auto"/>
            </w:tcBorders>
            <w:shd w:val="clear" w:color="000000" w:fill="C5D9F1"/>
            <w:vAlign w:val="center"/>
            <w:hideMark/>
          </w:tcPr>
          <w:p w14:paraId="11561C9D"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Подрачје на емитување/на кое се врши дејноста</w:t>
            </w:r>
          </w:p>
        </w:tc>
        <w:tc>
          <w:tcPr>
            <w:tcW w:w="1154" w:type="dxa"/>
            <w:tcBorders>
              <w:top w:val="single" w:sz="4" w:space="0" w:color="auto"/>
              <w:left w:val="nil"/>
              <w:bottom w:val="single" w:sz="4" w:space="0" w:color="auto"/>
              <w:right w:val="single" w:sz="4" w:space="0" w:color="auto"/>
            </w:tcBorders>
            <w:shd w:val="clear" w:color="000000" w:fill="C5D9F1"/>
            <w:vAlign w:val="center"/>
            <w:hideMark/>
          </w:tcPr>
          <w:p w14:paraId="2F94646A" w14:textId="33AD5594"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ОЈКМ</w:t>
            </w:r>
          </w:p>
        </w:tc>
        <w:tc>
          <w:tcPr>
            <w:tcW w:w="1722" w:type="dxa"/>
            <w:tcBorders>
              <w:top w:val="single" w:sz="4" w:space="0" w:color="auto"/>
              <w:left w:val="nil"/>
              <w:bottom w:val="single" w:sz="4" w:space="0" w:color="auto"/>
              <w:right w:val="single" w:sz="4" w:space="0" w:color="auto"/>
            </w:tcBorders>
            <w:shd w:val="clear" w:color="000000" w:fill="C5D9F1"/>
            <w:vAlign w:val="center"/>
            <w:hideMark/>
          </w:tcPr>
          <w:p w14:paraId="6ADD04E1" w14:textId="655968B4"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Одредба од ЗАВМУ</w:t>
            </w:r>
            <w:r w:rsidR="00B7027C">
              <w:rPr>
                <w:rFonts w:ascii="Arial" w:eastAsia="Times New Roman" w:hAnsi="Arial" w:cs="Arial"/>
                <w:color w:val="000000"/>
                <w:sz w:val="16"/>
                <w:szCs w:val="16"/>
                <w:lang w:val="mk-MK"/>
              </w:rPr>
              <w:t xml:space="preserve"> </w:t>
            </w:r>
            <w:r w:rsidRPr="00F02543">
              <w:rPr>
                <w:rFonts w:ascii="Arial" w:eastAsia="Times New Roman" w:hAnsi="Arial" w:cs="Arial"/>
                <w:color w:val="000000"/>
                <w:sz w:val="16"/>
                <w:szCs w:val="16"/>
              </w:rPr>
              <w:t>која е прекршена</w:t>
            </w:r>
          </w:p>
        </w:tc>
        <w:tc>
          <w:tcPr>
            <w:tcW w:w="2261" w:type="dxa"/>
            <w:tcBorders>
              <w:top w:val="single" w:sz="4" w:space="0" w:color="auto"/>
              <w:left w:val="nil"/>
              <w:bottom w:val="single" w:sz="4" w:space="0" w:color="auto"/>
              <w:right w:val="single" w:sz="4" w:space="0" w:color="auto"/>
            </w:tcBorders>
            <w:shd w:val="clear" w:color="000000" w:fill="C5D9F1"/>
            <w:vAlign w:val="center"/>
            <w:hideMark/>
          </w:tcPr>
          <w:p w14:paraId="3C112BCB"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Опис на прекршувањето</w:t>
            </w:r>
          </w:p>
        </w:tc>
        <w:tc>
          <w:tcPr>
            <w:tcW w:w="1716" w:type="dxa"/>
            <w:tcBorders>
              <w:top w:val="single" w:sz="4" w:space="0" w:color="auto"/>
              <w:left w:val="nil"/>
              <w:bottom w:val="single" w:sz="4" w:space="0" w:color="auto"/>
              <w:right w:val="single" w:sz="4" w:space="0" w:color="auto"/>
            </w:tcBorders>
            <w:shd w:val="clear" w:color="000000" w:fill="C5D9F1"/>
            <w:vAlign w:val="center"/>
            <w:hideMark/>
          </w:tcPr>
          <w:p w14:paraId="79C9CE8E"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Пропишани глоби во закон</w:t>
            </w:r>
          </w:p>
        </w:tc>
        <w:tc>
          <w:tcPr>
            <w:tcW w:w="1301" w:type="dxa"/>
            <w:tcBorders>
              <w:top w:val="single" w:sz="4" w:space="0" w:color="auto"/>
              <w:left w:val="nil"/>
              <w:bottom w:val="single" w:sz="4" w:space="0" w:color="auto"/>
              <w:right w:val="single" w:sz="4" w:space="0" w:color="auto"/>
            </w:tcBorders>
            <w:shd w:val="clear" w:color="000000" w:fill="C5D9F1"/>
            <w:vAlign w:val="center"/>
            <w:hideMark/>
          </w:tcPr>
          <w:p w14:paraId="4E06062F"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Датум и месец на спроведување</w:t>
            </w:r>
          </w:p>
        </w:tc>
        <w:tc>
          <w:tcPr>
            <w:tcW w:w="1301" w:type="dxa"/>
            <w:tcBorders>
              <w:top w:val="single" w:sz="4" w:space="0" w:color="auto"/>
              <w:left w:val="nil"/>
              <w:bottom w:val="single" w:sz="4" w:space="0" w:color="auto"/>
              <w:right w:val="single" w:sz="4" w:space="0" w:color="auto"/>
            </w:tcBorders>
            <w:shd w:val="clear" w:color="000000" w:fill="C5D9F1"/>
            <w:vAlign w:val="center"/>
            <w:hideMark/>
          </w:tcPr>
          <w:p w14:paraId="582828CB"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Година на спроведување на постапката</w:t>
            </w:r>
          </w:p>
        </w:tc>
        <w:tc>
          <w:tcPr>
            <w:tcW w:w="2213" w:type="dxa"/>
            <w:tcBorders>
              <w:top w:val="single" w:sz="4" w:space="0" w:color="auto"/>
              <w:left w:val="nil"/>
              <w:bottom w:val="single" w:sz="4" w:space="0" w:color="auto"/>
              <w:right w:val="single" w:sz="4" w:space="0" w:color="auto"/>
            </w:tcBorders>
            <w:shd w:val="clear" w:color="000000" w:fill="C5D9F1"/>
            <w:vAlign w:val="center"/>
            <w:hideMark/>
          </w:tcPr>
          <w:p w14:paraId="17B1C6EB"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Успешно спроведена постапка за порамнување</w:t>
            </w:r>
          </w:p>
        </w:tc>
        <w:tc>
          <w:tcPr>
            <w:tcW w:w="1290" w:type="dxa"/>
            <w:tcBorders>
              <w:top w:val="single" w:sz="4" w:space="0" w:color="auto"/>
              <w:left w:val="nil"/>
              <w:bottom w:val="single" w:sz="4" w:space="0" w:color="auto"/>
              <w:right w:val="single" w:sz="4" w:space="0" w:color="auto"/>
            </w:tcBorders>
            <w:shd w:val="clear" w:color="000000" w:fill="C5D9F1"/>
            <w:vAlign w:val="center"/>
            <w:hideMark/>
          </w:tcPr>
          <w:p w14:paraId="1A28F0AD"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Барање за поведување на прекршочна постапка (архивски број и датум)</w:t>
            </w:r>
          </w:p>
        </w:tc>
        <w:tc>
          <w:tcPr>
            <w:tcW w:w="1197" w:type="dxa"/>
            <w:tcBorders>
              <w:top w:val="single" w:sz="4" w:space="0" w:color="auto"/>
              <w:left w:val="nil"/>
              <w:bottom w:val="single" w:sz="4" w:space="0" w:color="auto"/>
              <w:right w:val="single" w:sz="4" w:space="0" w:color="auto"/>
            </w:tcBorders>
            <w:shd w:val="clear" w:color="000000" w:fill="C5D9F1"/>
            <w:vAlign w:val="center"/>
            <w:hideMark/>
          </w:tcPr>
          <w:p w14:paraId="2FA5E561"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Тек на постапката</w:t>
            </w:r>
          </w:p>
        </w:tc>
        <w:tc>
          <w:tcPr>
            <w:tcW w:w="2202" w:type="dxa"/>
            <w:tcBorders>
              <w:top w:val="single" w:sz="4" w:space="0" w:color="auto"/>
              <w:left w:val="nil"/>
              <w:bottom w:val="single" w:sz="4" w:space="0" w:color="auto"/>
              <w:right w:val="nil"/>
            </w:tcBorders>
            <w:shd w:val="clear" w:color="000000" w:fill="C5D9F1"/>
            <w:vAlign w:val="center"/>
            <w:hideMark/>
          </w:tcPr>
          <w:p w14:paraId="0A5D8D7D"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Фаза на прекршочната постапката</w:t>
            </w:r>
          </w:p>
        </w:tc>
        <w:tc>
          <w:tcPr>
            <w:tcW w:w="1102" w:type="dxa"/>
            <w:tcBorders>
              <w:top w:val="single" w:sz="4" w:space="0" w:color="auto"/>
              <w:left w:val="single" w:sz="8" w:space="0" w:color="auto"/>
              <w:bottom w:val="single" w:sz="4" w:space="0" w:color="auto"/>
              <w:right w:val="single" w:sz="8" w:space="0" w:color="auto"/>
            </w:tcBorders>
            <w:shd w:val="clear" w:color="000000" w:fill="C5D9F1"/>
            <w:vAlign w:val="center"/>
            <w:hideMark/>
          </w:tcPr>
          <w:p w14:paraId="4209A051" w14:textId="77777777" w:rsidR="00F02543" w:rsidRPr="00F02543" w:rsidRDefault="00F02543" w:rsidP="006A2C12">
            <w:pPr>
              <w:spacing w:after="0" w:line="240" w:lineRule="auto"/>
              <w:jc w:val="center"/>
              <w:rPr>
                <w:rFonts w:ascii="Arial" w:eastAsia="Times New Roman" w:hAnsi="Arial" w:cs="Arial"/>
                <w:color w:val="000000"/>
                <w:sz w:val="16"/>
                <w:szCs w:val="16"/>
              </w:rPr>
            </w:pPr>
            <w:r w:rsidRPr="00F02543">
              <w:rPr>
                <w:rFonts w:ascii="Arial" w:eastAsia="Times New Roman" w:hAnsi="Arial" w:cs="Arial"/>
                <w:color w:val="000000"/>
                <w:sz w:val="16"/>
                <w:szCs w:val="16"/>
              </w:rPr>
              <w:t>месец</w:t>
            </w:r>
          </w:p>
        </w:tc>
      </w:tr>
      <w:tr w:rsidR="00F02543" w:rsidRPr="00F02543" w14:paraId="079B8EF5" w14:textId="77777777" w:rsidTr="00F02543">
        <w:trPr>
          <w:trHeight w:val="675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6F2D9144"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Оператор на јавна електронска комуникациска мрежа Друштво за трговја и услуги ТОТАЛ ТВ ДОО Скопје</w:t>
            </w:r>
            <w:r w:rsidRPr="00F02543">
              <w:rPr>
                <w:rFonts w:ascii="Arial" w:eastAsia="Times New Roman" w:hAnsi="Arial" w:cs="Arial"/>
                <w:sz w:val="20"/>
                <w:szCs w:val="20"/>
              </w:rPr>
              <w:br/>
            </w:r>
            <w:r w:rsidRPr="00F02543">
              <w:rPr>
                <w:rFonts w:ascii="Arial" w:eastAsia="Times New Roman" w:hAnsi="Arial" w:cs="Arial"/>
                <w:sz w:val="20"/>
                <w:szCs w:val="20"/>
              </w:rPr>
              <w:br/>
              <w:t xml:space="preserve">Никола Тасев од Скопје одговорно лице/управител на операторот на јавна електронска комуникациска мрежа </w:t>
            </w:r>
          </w:p>
        </w:tc>
        <w:tc>
          <w:tcPr>
            <w:tcW w:w="875" w:type="dxa"/>
            <w:tcBorders>
              <w:top w:val="nil"/>
              <w:left w:val="nil"/>
              <w:bottom w:val="single" w:sz="4" w:space="0" w:color="auto"/>
              <w:right w:val="single" w:sz="4" w:space="0" w:color="auto"/>
            </w:tcBorders>
            <w:shd w:val="clear" w:color="auto" w:fill="auto"/>
            <w:vAlign w:val="center"/>
            <w:hideMark/>
          </w:tcPr>
          <w:p w14:paraId="422AC51B"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Скопје</w:t>
            </w:r>
          </w:p>
        </w:tc>
        <w:tc>
          <w:tcPr>
            <w:tcW w:w="1273" w:type="dxa"/>
            <w:tcBorders>
              <w:top w:val="nil"/>
              <w:left w:val="nil"/>
              <w:bottom w:val="single" w:sz="4" w:space="0" w:color="auto"/>
              <w:right w:val="single" w:sz="4" w:space="0" w:color="auto"/>
            </w:tcBorders>
            <w:shd w:val="clear" w:color="auto" w:fill="auto"/>
            <w:vAlign w:val="center"/>
            <w:hideMark/>
          </w:tcPr>
          <w:p w14:paraId="7DD869C2"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Територија на РМ</w:t>
            </w:r>
          </w:p>
        </w:tc>
        <w:tc>
          <w:tcPr>
            <w:tcW w:w="1154" w:type="dxa"/>
            <w:tcBorders>
              <w:top w:val="nil"/>
              <w:left w:val="nil"/>
              <w:bottom w:val="single" w:sz="4" w:space="0" w:color="auto"/>
              <w:right w:val="single" w:sz="4" w:space="0" w:color="auto"/>
            </w:tcBorders>
            <w:shd w:val="clear" w:color="auto" w:fill="auto"/>
            <w:vAlign w:val="center"/>
            <w:hideMark/>
          </w:tcPr>
          <w:p w14:paraId="725E2638"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ОЈКМ</w:t>
            </w:r>
          </w:p>
        </w:tc>
        <w:tc>
          <w:tcPr>
            <w:tcW w:w="1722" w:type="dxa"/>
            <w:tcBorders>
              <w:top w:val="nil"/>
              <w:left w:val="nil"/>
              <w:bottom w:val="single" w:sz="4" w:space="0" w:color="auto"/>
              <w:right w:val="single" w:sz="4" w:space="0" w:color="auto"/>
            </w:tcBorders>
            <w:shd w:val="clear" w:color="auto" w:fill="auto"/>
            <w:vAlign w:val="center"/>
            <w:hideMark/>
          </w:tcPr>
          <w:p w14:paraId="20ED1E2B" w14:textId="77777777" w:rsidR="00F02543" w:rsidRPr="00F02543" w:rsidRDefault="00F02543" w:rsidP="00F02543">
            <w:pPr>
              <w:spacing w:after="0" w:line="240" w:lineRule="auto"/>
              <w:jc w:val="center"/>
              <w:rPr>
                <w:rFonts w:ascii="Arial" w:eastAsia="Times New Roman" w:hAnsi="Arial" w:cs="Arial"/>
                <w:color w:val="000000"/>
                <w:sz w:val="20"/>
                <w:szCs w:val="20"/>
              </w:rPr>
            </w:pPr>
            <w:r w:rsidRPr="00F02543">
              <w:rPr>
                <w:rFonts w:ascii="Arial" w:eastAsia="Times New Roman" w:hAnsi="Arial" w:cs="Arial"/>
                <w:color w:val="000000"/>
                <w:sz w:val="20"/>
                <w:szCs w:val="20"/>
              </w:rPr>
              <w:t>Член 141 од Законот за аудио и аудиовизуелни медиумски услуги</w:t>
            </w:r>
          </w:p>
        </w:tc>
        <w:tc>
          <w:tcPr>
            <w:tcW w:w="2261" w:type="dxa"/>
            <w:tcBorders>
              <w:top w:val="nil"/>
              <w:left w:val="nil"/>
              <w:bottom w:val="single" w:sz="4" w:space="0" w:color="auto"/>
              <w:right w:val="single" w:sz="4" w:space="0" w:color="auto"/>
            </w:tcBorders>
            <w:shd w:val="clear" w:color="auto" w:fill="auto"/>
            <w:vAlign w:val="center"/>
            <w:hideMark/>
          </w:tcPr>
          <w:p w14:paraId="43AB19C8" w14:textId="77777777" w:rsidR="00F02543" w:rsidRPr="00F02543" w:rsidRDefault="00F02543" w:rsidP="00F02543">
            <w:pPr>
              <w:spacing w:after="0" w:line="240" w:lineRule="auto"/>
              <w:jc w:val="center"/>
              <w:rPr>
                <w:rFonts w:ascii="Arial" w:eastAsia="Times New Roman" w:hAnsi="Arial" w:cs="Arial"/>
                <w:color w:val="000000"/>
                <w:sz w:val="20"/>
                <w:szCs w:val="20"/>
              </w:rPr>
            </w:pPr>
            <w:r w:rsidRPr="00F02543">
              <w:rPr>
                <w:rFonts w:ascii="Arial" w:eastAsia="Times New Roman" w:hAnsi="Arial" w:cs="Arial"/>
                <w:color w:val="000000"/>
                <w:sz w:val="20"/>
                <w:szCs w:val="20"/>
              </w:rPr>
              <w:t>На 21-ви јуни 2018 година операторот на јавна електронска комуникациска мрежа Друштвото за трговија и услуги ТОТАЛ ТВ ДОО Скопје, кој според нотификацијата од Агенцијата за електронски комуникации може да врши дејност на територијата на Република Македонија, за своите корисници ги реемитувал програмските сервиси Happy TV, Studio B, Aurora TV и BK TV, кои не се опфатени со потврдите за регистрција на програмски сервиси издадени од Агенцијата за аудио и аудиовизулни медиумски услуги, што е спротивно на член 141 од Законот за аудио и аудиовизуелни медиумски услуги, a казниво по член 148 став 1 точка 25 и став 2 од истиот Закон.</w:t>
            </w:r>
          </w:p>
        </w:tc>
        <w:tc>
          <w:tcPr>
            <w:tcW w:w="1716" w:type="dxa"/>
            <w:tcBorders>
              <w:top w:val="nil"/>
              <w:left w:val="nil"/>
              <w:bottom w:val="single" w:sz="4" w:space="0" w:color="auto"/>
              <w:right w:val="single" w:sz="4" w:space="0" w:color="auto"/>
            </w:tcBorders>
            <w:shd w:val="clear" w:color="auto" w:fill="auto"/>
            <w:vAlign w:val="center"/>
            <w:hideMark/>
          </w:tcPr>
          <w:p w14:paraId="1608F669"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2500 евра во денарска противвредност за правното лице и 250 за одговорното лице на правното лице</w:t>
            </w:r>
          </w:p>
        </w:tc>
        <w:tc>
          <w:tcPr>
            <w:tcW w:w="1301" w:type="dxa"/>
            <w:tcBorders>
              <w:top w:val="nil"/>
              <w:left w:val="nil"/>
              <w:bottom w:val="single" w:sz="4" w:space="0" w:color="auto"/>
              <w:right w:val="single" w:sz="4" w:space="0" w:color="auto"/>
            </w:tcBorders>
            <w:shd w:val="clear" w:color="auto" w:fill="auto"/>
            <w:vAlign w:val="center"/>
            <w:hideMark/>
          </w:tcPr>
          <w:p w14:paraId="70E1CB12"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10.07.2018</w:t>
            </w:r>
          </w:p>
        </w:tc>
        <w:tc>
          <w:tcPr>
            <w:tcW w:w="1301" w:type="dxa"/>
            <w:tcBorders>
              <w:top w:val="nil"/>
              <w:left w:val="nil"/>
              <w:bottom w:val="single" w:sz="4" w:space="0" w:color="auto"/>
              <w:right w:val="single" w:sz="4" w:space="0" w:color="auto"/>
            </w:tcBorders>
            <w:shd w:val="clear" w:color="auto" w:fill="auto"/>
            <w:vAlign w:val="center"/>
            <w:hideMark/>
          </w:tcPr>
          <w:p w14:paraId="213862D5"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2018</w:t>
            </w:r>
          </w:p>
        </w:tc>
        <w:tc>
          <w:tcPr>
            <w:tcW w:w="2213" w:type="dxa"/>
            <w:tcBorders>
              <w:top w:val="nil"/>
              <w:left w:val="nil"/>
              <w:bottom w:val="single" w:sz="4" w:space="0" w:color="auto"/>
              <w:right w:val="single" w:sz="4" w:space="0" w:color="auto"/>
            </w:tcBorders>
            <w:shd w:val="clear" w:color="auto" w:fill="auto"/>
            <w:vAlign w:val="center"/>
            <w:hideMark/>
          </w:tcPr>
          <w:p w14:paraId="0B34516F"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да</w:t>
            </w:r>
          </w:p>
        </w:tc>
        <w:tc>
          <w:tcPr>
            <w:tcW w:w="1290" w:type="dxa"/>
            <w:tcBorders>
              <w:top w:val="nil"/>
              <w:left w:val="nil"/>
              <w:bottom w:val="single" w:sz="4" w:space="0" w:color="auto"/>
              <w:right w:val="single" w:sz="4" w:space="0" w:color="auto"/>
            </w:tcBorders>
            <w:shd w:val="clear" w:color="auto" w:fill="auto"/>
            <w:vAlign w:val="center"/>
            <w:hideMark/>
          </w:tcPr>
          <w:p w14:paraId="7124D0CF"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2C6B8BF6"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завршена</w:t>
            </w:r>
          </w:p>
        </w:tc>
        <w:tc>
          <w:tcPr>
            <w:tcW w:w="2202" w:type="dxa"/>
            <w:tcBorders>
              <w:top w:val="nil"/>
              <w:left w:val="nil"/>
              <w:bottom w:val="single" w:sz="4" w:space="0" w:color="auto"/>
              <w:right w:val="nil"/>
            </w:tcBorders>
            <w:shd w:val="clear" w:color="auto" w:fill="auto"/>
            <w:vAlign w:val="center"/>
            <w:hideMark/>
          </w:tcPr>
          <w:p w14:paraId="34E53276"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14:paraId="57CDA764" w14:textId="77777777" w:rsidR="00F02543" w:rsidRPr="00F02543" w:rsidRDefault="00F02543" w:rsidP="00F02543">
            <w:pPr>
              <w:spacing w:after="0" w:line="240" w:lineRule="auto"/>
              <w:jc w:val="center"/>
              <w:rPr>
                <w:rFonts w:ascii="Arial" w:eastAsia="Times New Roman" w:hAnsi="Arial" w:cs="Arial"/>
                <w:sz w:val="20"/>
                <w:szCs w:val="20"/>
              </w:rPr>
            </w:pPr>
            <w:r w:rsidRPr="00F02543">
              <w:rPr>
                <w:rFonts w:ascii="Arial" w:eastAsia="Times New Roman" w:hAnsi="Arial" w:cs="Arial"/>
                <w:sz w:val="20"/>
                <w:szCs w:val="20"/>
              </w:rPr>
              <w:t>јули</w:t>
            </w:r>
          </w:p>
        </w:tc>
      </w:tr>
    </w:tbl>
    <w:p w14:paraId="569CEF97" w14:textId="77777777" w:rsidR="00F02543" w:rsidRDefault="00F02543"/>
    <w:tbl>
      <w:tblPr>
        <w:tblStyle w:val="TableGrid"/>
        <w:tblW w:w="0" w:type="auto"/>
        <w:tblLook w:val="04A0" w:firstRow="1" w:lastRow="0" w:firstColumn="1" w:lastColumn="0" w:noHBand="0" w:noVBand="1"/>
      </w:tblPr>
      <w:tblGrid>
        <w:gridCol w:w="2239"/>
        <w:gridCol w:w="1047"/>
        <w:gridCol w:w="1261"/>
        <w:gridCol w:w="1209"/>
        <w:gridCol w:w="1654"/>
        <w:gridCol w:w="1774"/>
        <w:gridCol w:w="1496"/>
        <w:gridCol w:w="2131"/>
        <w:gridCol w:w="1356"/>
        <w:gridCol w:w="1762"/>
        <w:gridCol w:w="1226"/>
        <w:gridCol w:w="1212"/>
        <w:gridCol w:w="1553"/>
        <w:gridCol w:w="1004"/>
      </w:tblGrid>
      <w:tr w:rsidR="00EB7600" w:rsidRPr="00FC36DB" w14:paraId="4D1F5ECA" w14:textId="77777777" w:rsidTr="00D87C53">
        <w:trPr>
          <w:trHeight w:val="5325"/>
        </w:trPr>
        <w:tc>
          <w:tcPr>
            <w:tcW w:w="2278" w:type="dxa"/>
            <w:hideMark/>
          </w:tcPr>
          <w:p w14:paraId="2D7496D4" w14:textId="791C0684" w:rsidR="00EB7600" w:rsidRPr="00FC36DB" w:rsidRDefault="001D3D1F" w:rsidP="001D3D1F">
            <w:r w:rsidRPr="00F02543">
              <w:rPr>
                <w:rFonts w:ascii="Arial" w:eastAsia="Times New Roman" w:hAnsi="Arial" w:cs="Arial"/>
                <w:sz w:val="20"/>
                <w:szCs w:val="20"/>
              </w:rPr>
              <w:lastRenderedPageBreak/>
              <w:t xml:space="preserve">Оператор на јавна електронска комуникациска мрежа </w:t>
            </w:r>
            <w:r w:rsidR="00EB7600" w:rsidRPr="00FC36DB">
              <w:t>Друштво за трговија и услуги ТОТАЛ ТВ ДОО Скопје</w:t>
            </w:r>
          </w:p>
        </w:tc>
        <w:tc>
          <w:tcPr>
            <w:tcW w:w="1047" w:type="dxa"/>
            <w:noWrap/>
            <w:hideMark/>
          </w:tcPr>
          <w:p w14:paraId="6CCB0793" w14:textId="77777777" w:rsidR="00EB7600" w:rsidRPr="00FC36DB" w:rsidRDefault="00EB7600" w:rsidP="001D3D1F">
            <w:r w:rsidRPr="00FC36DB">
              <w:t>Скопје</w:t>
            </w:r>
          </w:p>
        </w:tc>
        <w:tc>
          <w:tcPr>
            <w:tcW w:w="1163" w:type="dxa"/>
            <w:hideMark/>
          </w:tcPr>
          <w:p w14:paraId="43EE73F6" w14:textId="77777777" w:rsidR="00EB7600" w:rsidRPr="00FC36DB" w:rsidRDefault="00EB7600" w:rsidP="001D3D1F">
            <w:r w:rsidRPr="00FC36DB">
              <w:t>Територија на РМ</w:t>
            </w:r>
          </w:p>
        </w:tc>
        <w:tc>
          <w:tcPr>
            <w:tcW w:w="1238" w:type="dxa"/>
            <w:hideMark/>
          </w:tcPr>
          <w:p w14:paraId="2DE36B07" w14:textId="77777777" w:rsidR="00EB7600" w:rsidRPr="00FC36DB" w:rsidRDefault="00EB7600" w:rsidP="001D3D1F">
            <w:r w:rsidRPr="00FC36DB">
              <w:t>ОЈКМ</w:t>
            </w:r>
          </w:p>
        </w:tc>
        <w:tc>
          <w:tcPr>
            <w:tcW w:w="1512" w:type="dxa"/>
            <w:hideMark/>
          </w:tcPr>
          <w:p w14:paraId="088DAA09" w14:textId="77777777" w:rsidR="00EB7600" w:rsidRPr="00FC36DB" w:rsidRDefault="00EB7600" w:rsidP="001D3D1F">
            <w:r w:rsidRPr="00FC36DB">
              <w:t>член 141 од Законот за аудио и аудиовизуелни медиумски услуги</w:t>
            </w:r>
          </w:p>
        </w:tc>
        <w:tc>
          <w:tcPr>
            <w:tcW w:w="1781" w:type="dxa"/>
            <w:hideMark/>
          </w:tcPr>
          <w:p w14:paraId="3DC0E17A" w14:textId="77777777" w:rsidR="00EB7600" w:rsidRPr="00FC36DB" w:rsidRDefault="00EB7600" w:rsidP="001D3D1F">
            <w:r w:rsidRPr="00FC36DB">
              <w:t>реемитуван е програмски сервис кој не се регистриран во Агенцијата согласно член 141 од Законот за аудио и аудиовизуелни медиумски услуги</w:t>
            </w:r>
          </w:p>
        </w:tc>
        <w:tc>
          <w:tcPr>
            <w:tcW w:w="1501" w:type="dxa"/>
            <w:hideMark/>
          </w:tcPr>
          <w:p w14:paraId="2B96E6BB" w14:textId="77777777" w:rsidR="00EB7600" w:rsidRPr="00FC36DB" w:rsidRDefault="00EB7600" w:rsidP="001D3D1F">
            <w:r w:rsidRPr="00FC36DB">
              <w:t>2.500 евра за правното лице и 250 евра за одговорното лице</w:t>
            </w:r>
          </w:p>
        </w:tc>
        <w:tc>
          <w:tcPr>
            <w:tcW w:w="2168" w:type="dxa"/>
            <w:hideMark/>
          </w:tcPr>
          <w:p w14:paraId="571E4C81" w14:textId="77777777" w:rsidR="00EB7600" w:rsidRPr="00FC36DB" w:rsidRDefault="00EB7600" w:rsidP="001D3D1F">
            <w:r w:rsidRPr="00FC36DB">
              <w:t>успешно спроведена постапка за порамнување 15.03.2019 година</w:t>
            </w:r>
          </w:p>
        </w:tc>
        <w:tc>
          <w:tcPr>
            <w:tcW w:w="1399" w:type="dxa"/>
            <w:hideMark/>
          </w:tcPr>
          <w:p w14:paraId="4069D006" w14:textId="77777777" w:rsidR="00EB7600" w:rsidRPr="00FC36DB" w:rsidRDefault="00EB7600" w:rsidP="001D3D1F">
            <w:r w:rsidRPr="00FC36DB">
              <w:t>2019</w:t>
            </w:r>
          </w:p>
        </w:tc>
        <w:tc>
          <w:tcPr>
            <w:tcW w:w="1762" w:type="dxa"/>
            <w:noWrap/>
            <w:hideMark/>
          </w:tcPr>
          <w:p w14:paraId="365E43E2" w14:textId="77777777" w:rsidR="00EB7600" w:rsidRPr="00FC36DB" w:rsidRDefault="00EB7600" w:rsidP="001D3D1F">
            <w:r w:rsidRPr="00FC36DB">
              <w:t>Да</w:t>
            </w:r>
          </w:p>
        </w:tc>
        <w:tc>
          <w:tcPr>
            <w:tcW w:w="1226" w:type="dxa"/>
            <w:noWrap/>
            <w:hideMark/>
          </w:tcPr>
          <w:p w14:paraId="595EF670" w14:textId="77777777" w:rsidR="00EB7600" w:rsidRPr="00FC36DB" w:rsidRDefault="00EB7600" w:rsidP="001D3D1F">
            <w:r w:rsidRPr="00FC36DB">
              <w:t>/</w:t>
            </w:r>
          </w:p>
        </w:tc>
        <w:tc>
          <w:tcPr>
            <w:tcW w:w="1212" w:type="dxa"/>
            <w:noWrap/>
            <w:hideMark/>
          </w:tcPr>
          <w:p w14:paraId="2B210F84" w14:textId="77777777" w:rsidR="00EB7600" w:rsidRPr="00FC36DB" w:rsidRDefault="00EB7600" w:rsidP="001D3D1F">
            <w:r w:rsidRPr="00FC36DB">
              <w:t>завршена</w:t>
            </w:r>
          </w:p>
        </w:tc>
        <w:tc>
          <w:tcPr>
            <w:tcW w:w="1630" w:type="dxa"/>
            <w:hideMark/>
          </w:tcPr>
          <w:p w14:paraId="2E5CF2DA" w14:textId="77777777" w:rsidR="00EB7600" w:rsidRPr="00FC36DB" w:rsidRDefault="00EB7600" w:rsidP="001D3D1F">
            <w:r w:rsidRPr="00FC36DB">
              <w:t>/</w:t>
            </w:r>
          </w:p>
        </w:tc>
        <w:tc>
          <w:tcPr>
            <w:tcW w:w="1004" w:type="dxa"/>
            <w:noWrap/>
            <w:hideMark/>
          </w:tcPr>
          <w:p w14:paraId="3EDD5C01" w14:textId="77777777" w:rsidR="00EB7600" w:rsidRPr="00FC36DB" w:rsidRDefault="00EB7600" w:rsidP="001D3D1F">
            <w:r w:rsidRPr="00FC36DB">
              <w:t>март</w:t>
            </w:r>
          </w:p>
        </w:tc>
      </w:tr>
    </w:tbl>
    <w:p w14:paraId="59F4C7AF" w14:textId="77777777" w:rsidR="00F02543" w:rsidRPr="00F02543" w:rsidRDefault="00F02543">
      <w:pPr>
        <w:rPr>
          <w:lang w:val="mk-MK"/>
        </w:rPr>
      </w:pPr>
    </w:p>
    <w:sectPr w:rsidR="00F02543" w:rsidRPr="00F02543" w:rsidSect="00F02543">
      <w:headerReference w:type="default" r:id="rId7"/>
      <w:pgSz w:w="23814" w:h="16839" w:orient="landscape" w:code="8"/>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686B" w14:textId="77777777" w:rsidR="00A7778C" w:rsidRDefault="00A7778C" w:rsidP="00F02543">
      <w:pPr>
        <w:spacing w:after="0" w:line="240" w:lineRule="auto"/>
      </w:pPr>
      <w:r>
        <w:separator/>
      </w:r>
    </w:p>
  </w:endnote>
  <w:endnote w:type="continuationSeparator" w:id="0">
    <w:p w14:paraId="11B7943F" w14:textId="77777777" w:rsidR="00A7778C" w:rsidRDefault="00A7778C" w:rsidP="00F0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E962" w14:textId="77777777" w:rsidR="00A7778C" w:rsidRDefault="00A7778C" w:rsidP="00F02543">
      <w:pPr>
        <w:spacing w:after="0" w:line="240" w:lineRule="auto"/>
      </w:pPr>
      <w:r>
        <w:separator/>
      </w:r>
    </w:p>
  </w:footnote>
  <w:footnote w:type="continuationSeparator" w:id="0">
    <w:p w14:paraId="350CCA87" w14:textId="77777777" w:rsidR="00A7778C" w:rsidRDefault="00A7778C" w:rsidP="00F0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D7FA" w14:textId="77777777" w:rsidR="00F02543" w:rsidRDefault="00F02543" w:rsidP="00F02543">
    <w:pPr>
      <w:pStyle w:val="Header"/>
      <w:jc w:val="center"/>
      <w:rPr>
        <w:rFonts w:ascii="Arial" w:hAnsi="Arial" w:cs="Arial"/>
        <w:sz w:val="52"/>
        <w:szCs w:val="52"/>
      </w:rPr>
    </w:pPr>
  </w:p>
  <w:p w14:paraId="34B562E5" w14:textId="77777777" w:rsidR="00F02543" w:rsidRDefault="00F02543" w:rsidP="00F02543">
    <w:pPr>
      <w:pStyle w:val="Header"/>
      <w:jc w:val="center"/>
      <w:rPr>
        <w:rFonts w:ascii="Arial" w:hAnsi="Arial" w:cs="Arial"/>
        <w:sz w:val="52"/>
        <w:szCs w:val="52"/>
      </w:rPr>
    </w:pPr>
    <w:r w:rsidRPr="00F02543">
      <w:rPr>
        <w:rFonts w:ascii="Arial" w:hAnsi="Arial" w:cs="Arial"/>
        <w:sz w:val="52"/>
        <w:szCs w:val="52"/>
      </w:rPr>
      <w:t>ПОСТАПКИ ЗА ПОРАМНУВАЊЕ/ПРЕКРШОЧНИ ПОСТАПКИ</w:t>
    </w:r>
  </w:p>
  <w:p w14:paraId="2D9FB333" w14:textId="1651A231" w:rsidR="00F02543" w:rsidRDefault="00F02543" w:rsidP="00F02543">
    <w:pPr>
      <w:pStyle w:val="Header"/>
      <w:jc w:val="center"/>
      <w:rPr>
        <w:rFonts w:ascii="Arial" w:hAnsi="Arial" w:cs="Arial"/>
        <w:sz w:val="52"/>
        <w:szCs w:val="52"/>
        <w:lang w:val="mk-MK"/>
      </w:rPr>
    </w:pPr>
    <w:r>
      <w:rPr>
        <w:rFonts w:ascii="Arial" w:hAnsi="Arial" w:cs="Arial"/>
        <w:sz w:val="52"/>
        <w:szCs w:val="52"/>
        <w:lang w:val="mk-MK"/>
      </w:rPr>
      <w:t>ПО ЗААВМУ</w:t>
    </w:r>
    <w:r w:rsidR="00603CE4">
      <w:rPr>
        <w:rFonts w:ascii="Arial" w:hAnsi="Arial" w:cs="Arial"/>
        <w:sz w:val="52"/>
        <w:szCs w:val="52"/>
      </w:rPr>
      <w:t xml:space="preserve"> </w:t>
    </w:r>
  </w:p>
  <w:p w14:paraId="62AA745B" w14:textId="400E91FC" w:rsidR="00603CE4" w:rsidRPr="00603CE4" w:rsidRDefault="00603CE4" w:rsidP="00F02543">
    <w:pPr>
      <w:pStyle w:val="Header"/>
      <w:jc w:val="center"/>
      <w:rPr>
        <w:rFonts w:ascii="Arial" w:hAnsi="Arial" w:cs="Arial"/>
        <w:sz w:val="52"/>
        <w:szCs w:val="52"/>
        <w:lang w:val="mk-MK"/>
      </w:rPr>
    </w:pPr>
    <w:r>
      <w:rPr>
        <w:rFonts w:ascii="Arial" w:hAnsi="Arial" w:cs="Arial"/>
        <w:sz w:val="52"/>
        <w:szCs w:val="52"/>
        <w:lang w:val="mk-MK"/>
      </w:rPr>
      <w:t>(2018</w:t>
    </w:r>
    <w:r w:rsidR="00EB7600">
      <w:rPr>
        <w:rFonts w:ascii="Arial" w:hAnsi="Arial" w:cs="Arial"/>
        <w:sz w:val="52"/>
        <w:szCs w:val="52"/>
      </w:rPr>
      <w:t xml:space="preserve"> - 2019</w:t>
    </w:r>
    <w:r>
      <w:rPr>
        <w:rFonts w:ascii="Arial" w:hAnsi="Arial" w:cs="Arial"/>
        <w:sz w:val="52"/>
        <w:szCs w:val="52"/>
        <w:lang w:val="mk-MK"/>
      </w:rPr>
      <w:t xml:space="preserve"> година)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43"/>
    <w:rsid w:val="000969CD"/>
    <w:rsid w:val="001D3D1F"/>
    <w:rsid w:val="00236997"/>
    <w:rsid w:val="002F69DB"/>
    <w:rsid w:val="00344E7D"/>
    <w:rsid w:val="003B73DE"/>
    <w:rsid w:val="00495EBB"/>
    <w:rsid w:val="00603CE4"/>
    <w:rsid w:val="0060664E"/>
    <w:rsid w:val="006A2C12"/>
    <w:rsid w:val="006C4C8D"/>
    <w:rsid w:val="007555C6"/>
    <w:rsid w:val="008C016C"/>
    <w:rsid w:val="00A7778C"/>
    <w:rsid w:val="00AC4D29"/>
    <w:rsid w:val="00B41020"/>
    <w:rsid w:val="00B7027C"/>
    <w:rsid w:val="00C07823"/>
    <w:rsid w:val="00E94BA8"/>
    <w:rsid w:val="00EB7600"/>
    <w:rsid w:val="00F02543"/>
    <w:rsid w:val="00F2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09AE"/>
  <w15:docId w15:val="{B0A89406-A0C2-4C95-A73E-53BA45D6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543"/>
  </w:style>
  <w:style w:type="paragraph" w:styleId="Footer">
    <w:name w:val="footer"/>
    <w:basedOn w:val="Normal"/>
    <w:link w:val="FooterChar"/>
    <w:uiPriority w:val="99"/>
    <w:unhideWhenUsed/>
    <w:rsid w:val="00F02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543"/>
  </w:style>
  <w:style w:type="table" w:styleId="TableGrid">
    <w:name w:val="Table Grid"/>
    <w:basedOn w:val="TableNormal"/>
    <w:uiPriority w:val="39"/>
    <w:rsid w:val="00EB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608">
      <w:bodyDiv w:val="1"/>
      <w:marLeft w:val="0"/>
      <w:marRight w:val="0"/>
      <w:marTop w:val="0"/>
      <w:marBottom w:val="0"/>
      <w:divBdr>
        <w:top w:val="none" w:sz="0" w:space="0" w:color="auto"/>
        <w:left w:val="none" w:sz="0" w:space="0" w:color="auto"/>
        <w:bottom w:val="none" w:sz="0" w:space="0" w:color="auto"/>
        <w:right w:val="none" w:sz="0" w:space="0" w:color="auto"/>
      </w:divBdr>
    </w:div>
    <w:div w:id="5257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C823-B5E2-4EFF-9D04-951C5849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Filipovska</dc:creator>
  <cp:lastModifiedBy>Ivana Stojanovska</cp:lastModifiedBy>
  <cp:revision>2</cp:revision>
  <dcterms:created xsi:type="dcterms:W3CDTF">2019-03-19T12:36:00Z</dcterms:created>
  <dcterms:modified xsi:type="dcterms:W3CDTF">2019-03-19T12:36:00Z</dcterms:modified>
</cp:coreProperties>
</file>