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2E3" w:rsidRPr="00D854B2" w:rsidRDefault="004B2717" w:rsidP="00325B7F">
      <w:pPr>
        <w:sectPr w:rsidR="009962E3" w:rsidRPr="00D854B2" w:rsidSect="00DD0400">
          <w:footerReference w:type="default" r:id="rId7"/>
          <w:pgSz w:w="11909" w:h="16834" w:code="9"/>
          <w:pgMar w:top="238" w:right="244" w:bottom="249" w:left="238" w:header="709" w:footer="709" w:gutter="0"/>
          <w:cols w:space="708"/>
          <w:docGrid w:linePitch="360"/>
        </w:sectPr>
      </w:pPr>
      <w:r>
        <w:rPr>
          <w:noProof/>
          <w:lang w:val="en-US"/>
        </w:rPr>
        <w:pict>
          <v:group id="_x0000_s1026" style="position:absolute;margin-left:0;margin-top:0;width:580.25pt;height:804.35pt;z-index:251658240;mso-position-horizontal:center;mso-position-horizontal-relative:page;mso-position-vertical:center;mso-position-vertical-relative:page" coordorigin="316,406" coordsize="11608,15028" o:allowincell="f">
            <v:group id="_x0000_s1027" style="position:absolute;left:316;top:406;width:11608;height:15028;mso-position-horizontal:center;mso-position-horizontal-relative:page;mso-position-vertical:center;mso-position-vertical-relative:page" coordorigin="321,406" coordsize="11600,15025" o:allowincell="f">
              <v:rect id="_x0000_s1028" style="position:absolute;left:339;top:406;width:11582;height:15025;v-text-anchor:middle" fillcolor="#8c8c8c" strokecolor="white" strokeweight="1pt">
                <v:fill r:id="rId8" o:title="" color2="#bfbfbf" type="pattern"/>
                <v:shadow color="#d8d8d8" offset="3pt,3pt" offset2="2pt,2pt"/>
              </v:rect>
              <v:rect id="_x0000_s1029" style="position:absolute;left:3446;top:406;width:8475;height:15025" fillcolor="#737373" strokecolor="white" strokeweight="1pt">
                <v:shadow color="#d8d8d8" offset="3pt,3pt" offset2="2pt,2pt"/>
                <v:textbox style="mso-next-textbox:#_x0000_s1029" inset="18pt,108pt,36pt">
                  <w:txbxContent>
                    <w:p w:rsidR="009962E3" w:rsidRDefault="009962E3" w:rsidP="009C0A1B">
                      <w:pPr>
                        <w:pStyle w:val="NoSpacing"/>
                        <w:rPr>
                          <w:sz w:val="80"/>
                          <w:szCs w:val="80"/>
                        </w:rPr>
                      </w:pPr>
                    </w:p>
                    <w:p w:rsidR="009962E3" w:rsidRDefault="009962E3" w:rsidP="009C0A1B">
                      <w:pPr>
                        <w:pStyle w:val="NoSpacing"/>
                        <w:rPr>
                          <w:sz w:val="80"/>
                          <w:szCs w:val="80"/>
                        </w:rPr>
                      </w:pPr>
                    </w:p>
                    <w:p w:rsidR="009962E3" w:rsidRPr="00054531" w:rsidRDefault="009962E3" w:rsidP="009C0A1B">
                      <w:pPr>
                        <w:pStyle w:val="NoSpacing"/>
                        <w:rPr>
                          <w:sz w:val="70"/>
                          <w:szCs w:val="70"/>
                          <w:lang w:val="en-US"/>
                        </w:rPr>
                      </w:pPr>
                      <w:r>
                        <w:rPr>
                          <w:sz w:val="70"/>
                          <w:szCs w:val="70"/>
                          <w:lang w:val="en-US"/>
                        </w:rPr>
                        <w:t>Guide</w:t>
                      </w:r>
                      <w:r>
                        <w:rPr>
                          <w:sz w:val="70"/>
                          <w:szCs w:val="70"/>
                        </w:rPr>
                        <w:t xml:space="preserve"> </w:t>
                      </w:r>
                      <w:r>
                        <w:rPr>
                          <w:sz w:val="70"/>
                          <w:szCs w:val="70"/>
                          <w:lang w:val="en-US"/>
                        </w:rPr>
                        <w:t>to</w:t>
                      </w:r>
                    </w:p>
                    <w:p w:rsidR="009962E3" w:rsidRDefault="009962E3" w:rsidP="009C0A1B">
                      <w:pPr>
                        <w:pStyle w:val="NoSpacing"/>
                        <w:rPr>
                          <w:sz w:val="70"/>
                          <w:szCs w:val="70"/>
                          <w:lang w:val="en-US"/>
                        </w:rPr>
                      </w:pPr>
                      <w:r>
                        <w:rPr>
                          <w:sz w:val="70"/>
                          <w:szCs w:val="70"/>
                          <w:lang w:val="en-US"/>
                        </w:rPr>
                        <w:t>Monitor</w:t>
                      </w:r>
                    </w:p>
                    <w:p w:rsidR="009962E3" w:rsidRPr="005B7E39" w:rsidRDefault="009962E3" w:rsidP="009C0A1B">
                      <w:pPr>
                        <w:pStyle w:val="NoSpacing"/>
                        <w:rPr>
                          <w:color w:val="FFFFFF"/>
                          <w:sz w:val="70"/>
                          <w:szCs w:val="70"/>
                        </w:rPr>
                      </w:pPr>
                      <w:r>
                        <w:rPr>
                          <w:sz w:val="70"/>
                          <w:szCs w:val="70"/>
                          <w:lang w:val="en-US"/>
                        </w:rPr>
                        <w:t>“Hate speech”</w:t>
                      </w:r>
                    </w:p>
                    <w:p w:rsidR="009962E3" w:rsidRPr="00F83C08" w:rsidRDefault="009962E3" w:rsidP="009C0A1B">
                      <w:pPr>
                        <w:pStyle w:val="NoSpacing"/>
                        <w:rPr>
                          <w:color w:val="FFFFFF"/>
                          <w:sz w:val="40"/>
                          <w:szCs w:val="40"/>
                        </w:rPr>
                      </w:pPr>
                    </w:p>
                    <w:p w:rsidR="009962E3" w:rsidRPr="00F83C08" w:rsidRDefault="009962E3" w:rsidP="009C0A1B">
                      <w:pPr>
                        <w:pStyle w:val="NoSpacing"/>
                        <w:rPr>
                          <w:color w:val="FFFFFF"/>
                        </w:rPr>
                      </w:pPr>
                    </w:p>
                    <w:p w:rsidR="009962E3" w:rsidRPr="00F83C08" w:rsidRDefault="009962E3" w:rsidP="009C0A1B">
                      <w:pPr>
                        <w:pStyle w:val="NoSpacing"/>
                        <w:rPr>
                          <w:color w:val="FFFFFF"/>
                        </w:rPr>
                      </w:pPr>
                    </w:p>
                  </w:txbxContent>
                </v:textbox>
              </v:rect>
              <v:group id="_x0000_s1030" style="position:absolute;left:321;top:3424;width:3125;height:6069" coordorigin="654,3599" coordsize="2880,5760">
                <v:rect id="_x0000_s1031" style="position:absolute;left:2094;top:6479;width:1440;height:1440;flip:x;v-text-anchor:middle" fillcolor="#a7bfde" strokecolor="white" strokeweight="1pt">
                  <v:fill opacity="52429f"/>
                  <v:shadow color="#d8d8d8" offset="3pt,3pt" offset2="2pt,2pt"/>
                </v:rect>
                <v:rect id="_x0000_s1032" style="position:absolute;left:2094;top:5039;width:1440;height:1440;flip:x;v-text-anchor:middle" fillcolor="#a7bfde" strokecolor="white" strokeweight="1pt">
                  <v:fill opacity=".5"/>
                  <v:shadow color="#d8d8d8" offset="3pt,3pt" offset2="2pt,2pt"/>
                </v:rect>
                <v:rect id="_x0000_s1033" style="position:absolute;left:654;top:5039;width:1440;height:1440;flip:x;v-text-anchor:middle" fillcolor="#a7bfde" strokecolor="white" strokeweight="1pt">
                  <v:fill opacity="52429f"/>
                  <v:shadow color="#d8d8d8" offset="3pt,3pt" offset2="2pt,2pt"/>
                </v:rect>
                <v:rect id="_x0000_s1034" style="position:absolute;left:654;top:3599;width:1440;height:1440;flip:x;v-text-anchor:middle" fillcolor="#a7bfde" strokecolor="white" strokeweight="1pt">
                  <v:fill opacity=".5"/>
                  <v:shadow color="#d8d8d8" offset="3pt,3pt" offset2="2pt,2pt"/>
                </v:rect>
                <v:rect id="_x0000_s1035" style="position:absolute;left:654;top:6479;width:1440;height:1440;flip:x;v-text-anchor:middle" fillcolor="#a7bfde" strokecolor="white" strokeweight="1pt">
                  <v:fill opacity=".5"/>
                  <v:shadow color="#d8d8d8" offset="3pt,3pt" offset2="2pt,2pt"/>
                </v:rect>
                <v:rect id="_x0000_s1036" style="position:absolute;left:2094;top:7919;width:1440;height:1440;flip:x;v-text-anchor:middle" fillcolor="#a7bfde" strokecolor="white" strokeweight="1pt">
                  <v:fill opacity=".5"/>
                  <v:shadow color="#d8d8d8" offset="3pt,3pt" offset2="2pt,2pt"/>
                </v:rect>
              </v:group>
              <v:rect id="_x0000_s1037" style="position:absolute;left:2690;top:406;width:1563;height:1518;flip:x;v-text-anchor:bottom" fillcolor="#c0504d" strokecolor="white" strokeweight="1pt">
                <v:shadow color="#d8d8d8" offset="3pt,3pt" offset2="2pt,2pt"/>
                <v:textbox style="mso-next-textbox:#_x0000_s1037">
                  <w:txbxContent>
                    <w:p w:rsidR="009962E3" w:rsidRPr="00F83C08" w:rsidRDefault="009962E3" w:rsidP="009C0A1B">
                      <w:pPr>
                        <w:jc w:val="center"/>
                        <w:rPr>
                          <w:color w:val="FFFFFF"/>
                          <w:sz w:val="48"/>
                          <w:szCs w:val="52"/>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v-text-anchor:middle" fillcolor="#bfbfbf" strokecolor="white" strokeweight="1pt">
                  <v:fill opacity=".5"/>
                  <v:shadow color="#d8d8d8" offset="3pt,3pt" offset2="2pt,2pt"/>
                </v:rect>
                <v:rect id="_x0000_s1041" style="position:absolute;left:10194;top:13364;width:1440;height:1440;flip:x;v-text-anchor:middle" fillcolor="#c0504d" strokecolor="white" strokeweight="1pt">
                  <v:shadow color="#d8d8d8" offset="3pt,3pt" offset2="2pt,2pt"/>
                </v:rect>
                <v:rect id="_x0000_s1042" style="position:absolute;left:8754;top:13364;width:1440;height:1440;flip:x;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9962E3" w:rsidRDefault="009962E3" w:rsidP="009C0A1B">
                      <w:pPr>
                        <w:pStyle w:val="NoSpacing"/>
                        <w:jc w:val="center"/>
                        <w:rPr>
                          <w:sz w:val="40"/>
                          <w:szCs w:val="40"/>
                          <w:lang w:val="en-US"/>
                        </w:rPr>
                      </w:pPr>
                      <w:r>
                        <w:rPr>
                          <w:sz w:val="40"/>
                          <w:szCs w:val="40"/>
                          <w:lang w:val="en-US"/>
                        </w:rPr>
                        <w:t>Agency</w:t>
                      </w:r>
                    </w:p>
                    <w:p w:rsidR="009962E3" w:rsidRPr="00F83C08" w:rsidRDefault="009962E3" w:rsidP="009C0A1B">
                      <w:pPr>
                        <w:pStyle w:val="NoSpacing"/>
                        <w:jc w:val="center"/>
                        <w:rPr>
                          <w:color w:val="FFFFFF"/>
                          <w:sz w:val="40"/>
                          <w:szCs w:val="40"/>
                        </w:rPr>
                      </w:pPr>
                      <w:r>
                        <w:rPr>
                          <w:sz w:val="40"/>
                          <w:szCs w:val="40"/>
                          <w:lang w:val="en-US"/>
                        </w:rPr>
                        <w:t>for Audio and Audiovisual Media Services</w:t>
                      </w:r>
                    </w:p>
                  </w:txbxContent>
                </v:textbox>
              </v:rect>
            </v:group>
            <w10:wrap anchorx="page" anchory="page"/>
          </v:group>
        </w:pict>
      </w:r>
    </w:p>
    <w:p w:rsidR="009962E3" w:rsidRPr="008317C1" w:rsidRDefault="009962E3" w:rsidP="004B3159">
      <w:pPr>
        <w:tabs>
          <w:tab w:val="num" w:pos="2160"/>
          <w:tab w:val="num" w:pos="2880"/>
        </w:tabs>
        <w:jc w:val="both"/>
        <w:rPr>
          <w:rFonts w:ascii="Times New Roman" w:hAnsi="Times New Roman" w:cs="Times New Roman"/>
          <w:b/>
          <w:sz w:val="32"/>
          <w:szCs w:val="32"/>
          <w:lang w:val="en-US"/>
        </w:rPr>
      </w:pPr>
      <w:r>
        <w:rPr>
          <w:rFonts w:ascii="Times New Roman" w:hAnsi="Times New Roman" w:cs="Times New Roman"/>
          <w:b/>
          <w:sz w:val="32"/>
          <w:szCs w:val="32"/>
          <w:lang w:val="en-US"/>
        </w:rPr>
        <w:br w:type="page"/>
      </w:r>
      <w:r w:rsidRPr="00DD3AE0">
        <w:rPr>
          <w:rFonts w:ascii="Times New Roman" w:hAnsi="Times New Roman" w:cs="Times New Roman"/>
          <w:b/>
          <w:sz w:val="32"/>
          <w:szCs w:val="32"/>
          <w:lang w:val="en-US"/>
        </w:rPr>
        <w:t>C</w:t>
      </w:r>
      <w:r>
        <w:rPr>
          <w:rFonts w:ascii="Times New Roman" w:hAnsi="Times New Roman" w:cs="Times New Roman"/>
          <w:b/>
          <w:sz w:val="32"/>
          <w:szCs w:val="32"/>
          <w:lang w:val="en-US"/>
        </w:rPr>
        <w:t xml:space="preserve"> </w:t>
      </w:r>
      <w:r w:rsidRPr="00DD3AE0">
        <w:rPr>
          <w:rFonts w:ascii="Times New Roman" w:hAnsi="Times New Roman" w:cs="Times New Roman"/>
          <w:b/>
          <w:sz w:val="32"/>
          <w:szCs w:val="32"/>
          <w:lang w:val="en-US"/>
        </w:rPr>
        <w:t>o</w:t>
      </w:r>
      <w:r>
        <w:rPr>
          <w:rFonts w:ascii="Times New Roman" w:hAnsi="Times New Roman" w:cs="Times New Roman"/>
          <w:b/>
          <w:sz w:val="32"/>
          <w:szCs w:val="32"/>
          <w:lang w:val="en-US"/>
        </w:rPr>
        <w:t xml:space="preserve"> </w:t>
      </w:r>
      <w:r w:rsidRPr="00DD3AE0">
        <w:rPr>
          <w:rFonts w:ascii="Times New Roman" w:hAnsi="Times New Roman" w:cs="Times New Roman"/>
          <w:b/>
          <w:sz w:val="32"/>
          <w:szCs w:val="32"/>
          <w:lang w:val="en-US"/>
        </w:rPr>
        <w:t>n</w:t>
      </w:r>
      <w:r>
        <w:rPr>
          <w:rFonts w:ascii="Times New Roman" w:hAnsi="Times New Roman" w:cs="Times New Roman"/>
          <w:b/>
          <w:sz w:val="32"/>
          <w:szCs w:val="32"/>
          <w:lang w:val="en-US"/>
        </w:rPr>
        <w:t xml:space="preserve"> </w:t>
      </w:r>
      <w:r w:rsidRPr="00DD3AE0">
        <w:rPr>
          <w:rFonts w:ascii="Times New Roman" w:hAnsi="Times New Roman" w:cs="Times New Roman"/>
          <w:b/>
          <w:sz w:val="32"/>
          <w:szCs w:val="32"/>
          <w:lang w:val="en-US"/>
        </w:rPr>
        <w:t>t</w:t>
      </w:r>
      <w:r>
        <w:rPr>
          <w:rFonts w:ascii="Times New Roman" w:hAnsi="Times New Roman" w:cs="Times New Roman"/>
          <w:b/>
          <w:sz w:val="32"/>
          <w:szCs w:val="32"/>
          <w:lang w:val="en-US"/>
        </w:rPr>
        <w:t xml:space="preserve"> </w:t>
      </w:r>
      <w:r w:rsidRPr="00DD3AE0">
        <w:rPr>
          <w:rFonts w:ascii="Times New Roman" w:hAnsi="Times New Roman" w:cs="Times New Roman"/>
          <w:b/>
          <w:sz w:val="32"/>
          <w:szCs w:val="32"/>
          <w:lang w:val="en-US"/>
        </w:rPr>
        <w:t>e</w:t>
      </w:r>
      <w:r>
        <w:rPr>
          <w:rFonts w:ascii="Times New Roman" w:hAnsi="Times New Roman" w:cs="Times New Roman"/>
          <w:b/>
          <w:sz w:val="32"/>
          <w:szCs w:val="32"/>
          <w:lang w:val="en-US"/>
        </w:rPr>
        <w:t xml:space="preserve"> </w:t>
      </w:r>
      <w:r w:rsidRPr="00DD3AE0">
        <w:rPr>
          <w:rFonts w:ascii="Times New Roman" w:hAnsi="Times New Roman" w:cs="Times New Roman"/>
          <w:b/>
          <w:sz w:val="32"/>
          <w:szCs w:val="32"/>
          <w:lang w:val="en-US"/>
        </w:rPr>
        <w:t>n</w:t>
      </w:r>
      <w:r>
        <w:rPr>
          <w:rFonts w:ascii="Times New Roman" w:hAnsi="Times New Roman" w:cs="Times New Roman"/>
          <w:b/>
          <w:sz w:val="32"/>
          <w:szCs w:val="32"/>
          <w:lang w:val="en-US"/>
        </w:rPr>
        <w:t xml:space="preserve"> </w:t>
      </w:r>
      <w:r w:rsidRPr="00DD3AE0">
        <w:rPr>
          <w:rFonts w:ascii="Times New Roman" w:hAnsi="Times New Roman" w:cs="Times New Roman"/>
          <w:b/>
          <w:sz w:val="32"/>
          <w:szCs w:val="32"/>
          <w:lang w:val="en-US"/>
        </w:rPr>
        <w:t>t</w:t>
      </w:r>
      <w:r>
        <w:rPr>
          <w:rFonts w:ascii="Times New Roman" w:hAnsi="Times New Roman" w:cs="Times New Roman"/>
          <w:b/>
          <w:sz w:val="32"/>
          <w:szCs w:val="32"/>
          <w:lang w:val="mk-MK"/>
        </w:rPr>
        <w:t xml:space="preserve"> </w:t>
      </w:r>
      <w:r>
        <w:rPr>
          <w:rFonts w:ascii="Times New Roman" w:hAnsi="Times New Roman" w:cs="Times New Roman"/>
          <w:b/>
          <w:sz w:val="32"/>
          <w:szCs w:val="32"/>
          <w:lang w:val="en-US"/>
        </w:rPr>
        <w:t>s</w:t>
      </w:r>
    </w:p>
    <w:p w:rsidR="009962E3" w:rsidRPr="00DD3AE0" w:rsidRDefault="009962E3" w:rsidP="004B3159">
      <w:pPr>
        <w:tabs>
          <w:tab w:val="num" w:pos="2160"/>
          <w:tab w:val="num" w:pos="2880"/>
        </w:tabs>
        <w:jc w:val="both"/>
        <w:rPr>
          <w:rFonts w:ascii="Times New Roman" w:hAnsi="Times New Roman" w:cs="Times New Roman"/>
          <w:b/>
          <w:sz w:val="32"/>
          <w:szCs w:val="32"/>
          <w:lang w:val="en-US"/>
        </w:rPr>
      </w:pPr>
    </w:p>
    <w:p w:rsidR="009962E3" w:rsidRPr="00895548" w:rsidRDefault="009962E3" w:rsidP="005E6FB8">
      <w:pPr>
        <w:numPr>
          <w:ilvl w:val="0"/>
          <w:numId w:val="18"/>
        </w:numPr>
        <w:tabs>
          <w:tab w:val="num" w:pos="1080"/>
          <w:tab w:val="num" w:pos="2880"/>
        </w:tabs>
        <w:spacing w:after="0"/>
        <w:contextualSpacing/>
        <w:jc w:val="both"/>
        <w:rPr>
          <w:rFonts w:ascii="Times New Roman" w:hAnsi="Times New Roman" w:cs="Times New Roman"/>
          <w:b/>
          <w:sz w:val="24"/>
          <w:szCs w:val="24"/>
          <w:lang w:val="en-US"/>
        </w:rPr>
      </w:pPr>
      <w:r w:rsidRPr="00895548">
        <w:rPr>
          <w:rFonts w:ascii="Times New Roman" w:hAnsi="Times New Roman" w:cs="Times New Roman"/>
          <w:b/>
          <w:sz w:val="24"/>
          <w:szCs w:val="24"/>
          <w:lang w:val="en-US"/>
        </w:rPr>
        <w:t>Introduction</w:t>
      </w:r>
    </w:p>
    <w:p w:rsidR="009962E3" w:rsidRPr="00895548" w:rsidRDefault="009962E3" w:rsidP="00DD3AE0">
      <w:pPr>
        <w:spacing w:after="0"/>
        <w:ind w:left="540"/>
        <w:contextualSpacing/>
        <w:jc w:val="both"/>
        <w:rPr>
          <w:rFonts w:ascii="Times New Roman" w:hAnsi="Times New Roman" w:cs="Times New Roman"/>
          <w:b/>
          <w:sz w:val="24"/>
          <w:szCs w:val="24"/>
          <w:lang w:val="en-US"/>
        </w:rPr>
      </w:pPr>
    </w:p>
    <w:p w:rsidR="009962E3" w:rsidRPr="00895D49" w:rsidRDefault="009962E3" w:rsidP="005E6FB8">
      <w:pPr>
        <w:numPr>
          <w:ilvl w:val="0"/>
          <w:numId w:val="18"/>
        </w:numPr>
        <w:tabs>
          <w:tab w:val="num" w:pos="1080"/>
          <w:tab w:val="num" w:pos="2880"/>
        </w:tabs>
        <w:contextualSpacing/>
        <w:jc w:val="both"/>
        <w:rPr>
          <w:rFonts w:ascii="Times New Roman" w:hAnsi="Times New Roman" w:cs="Times New Roman"/>
          <w:b/>
          <w:sz w:val="24"/>
          <w:szCs w:val="24"/>
          <w:lang w:val="en-US"/>
        </w:rPr>
      </w:pPr>
      <w:r w:rsidRPr="00895D49">
        <w:rPr>
          <w:rFonts w:ascii="Times New Roman" w:hAnsi="Times New Roman" w:cs="Times New Roman"/>
          <w:b/>
          <w:sz w:val="24"/>
          <w:szCs w:val="24"/>
          <w:lang w:val="en-US"/>
        </w:rPr>
        <w:t>Freedom of expression</w:t>
      </w:r>
      <w:r>
        <w:rPr>
          <w:rFonts w:ascii="Times New Roman" w:hAnsi="Times New Roman" w:cs="Times New Roman"/>
          <w:b/>
          <w:sz w:val="24"/>
          <w:szCs w:val="24"/>
          <w:lang w:val="en-US"/>
        </w:rPr>
        <w:tab/>
      </w:r>
      <w:r>
        <w:rPr>
          <w:rFonts w:ascii="Times New Roman" w:hAnsi="Times New Roman" w:cs="Times New Roman"/>
          <w:b/>
          <w:sz w:val="24"/>
          <w:szCs w:val="24"/>
          <w:lang w:val="en-US"/>
        </w:rPr>
        <w:br/>
      </w:r>
    </w:p>
    <w:p w:rsidR="009962E3" w:rsidRPr="001B7A63" w:rsidRDefault="009962E3" w:rsidP="005E6FB8">
      <w:pPr>
        <w:numPr>
          <w:ilvl w:val="0"/>
          <w:numId w:val="18"/>
        </w:numPr>
        <w:tabs>
          <w:tab w:val="num" w:pos="1080"/>
          <w:tab w:val="num" w:pos="2880"/>
        </w:tabs>
        <w:contextualSpacing/>
        <w:jc w:val="both"/>
        <w:rPr>
          <w:rFonts w:ascii="Times New Roman" w:hAnsi="Times New Roman"/>
          <w:b/>
          <w:sz w:val="24"/>
          <w:szCs w:val="24"/>
        </w:rPr>
      </w:pPr>
      <w:r w:rsidRPr="001B7A63">
        <w:rPr>
          <w:rFonts w:ascii="Times New Roman" w:hAnsi="Times New Roman" w:cs="Times New Roman"/>
          <w:b/>
          <w:sz w:val="24"/>
          <w:szCs w:val="24"/>
          <w:lang w:val="en-US"/>
        </w:rPr>
        <w:t xml:space="preserve">European </w:t>
      </w:r>
      <w:r>
        <w:rPr>
          <w:rFonts w:ascii="Times New Roman" w:hAnsi="Times New Roman" w:cs="Times New Roman"/>
          <w:b/>
          <w:sz w:val="24"/>
          <w:szCs w:val="24"/>
          <w:lang w:val="en-US"/>
        </w:rPr>
        <w:t>r</w:t>
      </w:r>
      <w:r w:rsidRPr="001B7A63">
        <w:rPr>
          <w:rFonts w:ascii="Times New Roman" w:hAnsi="Times New Roman" w:cs="Times New Roman"/>
          <w:b/>
          <w:sz w:val="24"/>
          <w:szCs w:val="24"/>
          <w:lang w:val="en-US"/>
        </w:rPr>
        <w:t xml:space="preserve">egulatory </w:t>
      </w:r>
      <w:r>
        <w:rPr>
          <w:rFonts w:ascii="Times New Roman" w:hAnsi="Times New Roman" w:cs="Times New Roman"/>
          <w:b/>
          <w:sz w:val="24"/>
          <w:szCs w:val="24"/>
          <w:lang w:val="en-US"/>
        </w:rPr>
        <w:t>f</w:t>
      </w:r>
      <w:r w:rsidRPr="001B7A63">
        <w:rPr>
          <w:rFonts w:ascii="Times New Roman" w:hAnsi="Times New Roman" w:cs="Times New Roman"/>
          <w:b/>
          <w:sz w:val="24"/>
          <w:szCs w:val="24"/>
          <w:lang w:val="en-US"/>
        </w:rPr>
        <w:t>ramework on “</w:t>
      </w:r>
      <w:r>
        <w:rPr>
          <w:rFonts w:ascii="Times New Roman" w:hAnsi="Times New Roman" w:cs="Times New Roman"/>
          <w:b/>
          <w:sz w:val="24"/>
          <w:szCs w:val="24"/>
          <w:lang w:val="en-US"/>
        </w:rPr>
        <w:t>h</w:t>
      </w:r>
      <w:r w:rsidRPr="001B7A63">
        <w:rPr>
          <w:rFonts w:ascii="Times New Roman" w:hAnsi="Times New Roman" w:cs="Times New Roman"/>
          <w:b/>
          <w:sz w:val="24"/>
          <w:szCs w:val="24"/>
          <w:lang w:val="en-US"/>
        </w:rPr>
        <w:t xml:space="preserve">ate </w:t>
      </w:r>
      <w:r>
        <w:rPr>
          <w:rFonts w:ascii="Times New Roman" w:hAnsi="Times New Roman" w:cs="Times New Roman"/>
          <w:b/>
          <w:sz w:val="24"/>
          <w:szCs w:val="24"/>
          <w:lang w:val="en-US"/>
        </w:rPr>
        <w:t>s</w:t>
      </w:r>
      <w:r w:rsidRPr="001B7A63">
        <w:rPr>
          <w:rFonts w:ascii="Times New Roman" w:hAnsi="Times New Roman" w:cs="Times New Roman"/>
          <w:b/>
          <w:sz w:val="24"/>
          <w:szCs w:val="24"/>
          <w:lang w:val="en-US"/>
        </w:rPr>
        <w:t>peech”</w:t>
      </w:r>
      <w:r w:rsidRPr="001B7A63">
        <w:rPr>
          <w:rFonts w:ascii="Times New Roman" w:hAnsi="Times New Roman" w:cs="Times New Roman"/>
          <w:b/>
          <w:sz w:val="24"/>
          <w:szCs w:val="24"/>
          <w:lang w:val="en-US"/>
        </w:rPr>
        <w:tab/>
      </w:r>
      <w:r w:rsidRPr="001B7A63">
        <w:rPr>
          <w:rFonts w:ascii="Times New Roman" w:hAnsi="Times New Roman" w:cs="Times New Roman"/>
          <w:b/>
          <w:sz w:val="24"/>
          <w:szCs w:val="24"/>
          <w:lang w:val="en-US"/>
        </w:rPr>
        <w:br/>
      </w:r>
      <w:r w:rsidRPr="001B7A63">
        <w:rPr>
          <w:rFonts w:ascii="Times New Roman" w:hAnsi="Times New Roman" w:cs="Times New Roman"/>
          <w:sz w:val="24"/>
          <w:szCs w:val="24"/>
          <w:lang w:val="en-US"/>
        </w:rPr>
        <w:t>3.1 Rec</w:t>
      </w:r>
      <w:r>
        <w:rPr>
          <w:rFonts w:ascii="Times New Roman" w:hAnsi="Times New Roman" w:cs="Times New Roman"/>
          <w:sz w:val="24"/>
          <w:szCs w:val="24"/>
          <w:lang w:val="en-US"/>
        </w:rPr>
        <w:t xml:space="preserve">ommendation </w:t>
      </w:r>
      <w:r w:rsidRPr="001B7A63">
        <w:rPr>
          <w:rFonts w:ascii="Times New Roman" w:hAnsi="Times New Roman" w:cs="Times New Roman"/>
          <w:sz w:val="24"/>
          <w:szCs w:val="24"/>
          <w:lang w:val="en-US"/>
        </w:rPr>
        <w:t>No. R (97) 20 on “hate speech”</w:t>
      </w:r>
      <w:r w:rsidRPr="001B7A63">
        <w:rPr>
          <w:rFonts w:ascii="Times New Roman" w:hAnsi="Times New Roman" w:cs="Times New Roman"/>
          <w:sz w:val="24"/>
          <w:szCs w:val="24"/>
          <w:lang w:val="en-US"/>
        </w:rPr>
        <w:tab/>
      </w:r>
      <w:r w:rsidRPr="001B7A63">
        <w:rPr>
          <w:rFonts w:ascii="Times New Roman" w:hAnsi="Times New Roman" w:cs="Times New Roman"/>
          <w:sz w:val="24"/>
          <w:szCs w:val="24"/>
          <w:lang w:val="en-US"/>
        </w:rPr>
        <w:br/>
        <w:t xml:space="preserve">3.2 </w:t>
      </w:r>
      <w:r w:rsidRPr="001B7A63">
        <w:rPr>
          <w:rFonts w:ascii="Times New Roman" w:hAnsi="Times New Roman" w:cs="Times New Roman"/>
          <w:bCs/>
          <w:sz w:val="24"/>
          <w:szCs w:val="24"/>
          <w:lang w:val="en-US"/>
        </w:rPr>
        <w:t>Rec</w:t>
      </w:r>
      <w:r>
        <w:rPr>
          <w:rFonts w:ascii="Times New Roman" w:hAnsi="Times New Roman" w:cs="Times New Roman"/>
          <w:bCs/>
          <w:sz w:val="24"/>
          <w:szCs w:val="24"/>
          <w:lang w:val="en-US"/>
        </w:rPr>
        <w:t xml:space="preserve">ommendation </w:t>
      </w:r>
      <w:r w:rsidRPr="001B7A63">
        <w:rPr>
          <w:rFonts w:ascii="Times New Roman" w:hAnsi="Times New Roman" w:cs="Times New Roman"/>
          <w:bCs/>
          <w:sz w:val="24"/>
          <w:szCs w:val="24"/>
          <w:lang w:val="en-US"/>
        </w:rPr>
        <w:t>No. R (97) 21 on the media and the promotion</w:t>
      </w:r>
      <w:r w:rsidRPr="001B7A63">
        <w:rPr>
          <w:rFonts w:ascii="Times New Roman" w:hAnsi="Times New Roman" w:cs="Times New Roman"/>
          <w:sz w:val="24"/>
          <w:szCs w:val="24"/>
          <w:lang w:val="en-US"/>
        </w:rPr>
        <w:t xml:space="preserve"> </w:t>
      </w:r>
      <w:r w:rsidRPr="001B7A63">
        <w:rPr>
          <w:rFonts w:ascii="Times New Roman" w:hAnsi="Times New Roman" w:cs="Times New Roman"/>
          <w:bCs/>
          <w:sz w:val="24"/>
          <w:szCs w:val="24"/>
          <w:lang w:val="en-US"/>
        </w:rPr>
        <w:t>of a culture of tolerance</w:t>
      </w:r>
      <w:r w:rsidRPr="001B7A63">
        <w:rPr>
          <w:rFonts w:ascii="Times New Roman" w:hAnsi="Times New Roman" w:cs="Times New Roman"/>
          <w:bCs/>
          <w:sz w:val="24"/>
          <w:szCs w:val="24"/>
          <w:lang w:val="en-US"/>
        </w:rPr>
        <w:tab/>
      </w:r>
      <w:r w:rsidRPr="001B7A63">
        <w:rPr>
          <w:rFonts w:ascii="Times New Roman" w:hAnsi="Times New Roman" w:cs="Times New Roman"/>
          <w:sz w:val="24"/>
          <w:szCs w:val="24"/>
          <w:lang w:val="en-US"/>
        </w:rPr>
        <w:br/>
      </w:r>
      <w:r w:rsidRPr="001B7A63">
        <w:rPr>
          <w:rFonts w:ascii="Times New Roman" w:hAnsi="Times New Roman" w:cs="Times New Roman"/>
          <w:sz w:val="23"/>
          <w:szCs w:val="23"/>
          <w:lang w:val="en-US"/>
        </w:rPr>
        <w:t xml:space="preserve">3.3 Declaration on Freedom of Political Debate in the Media </w:t>
      </w:r>
      <w:r w:rsidRPr="001B7A63">
        <w:rPr>
          <w:rFonts w:ascii="Times New Roman" w:hAnsi="Times New Roman" w:cs="Times New Roman"/>
          <w:sz w:val="24"/>
          <w:szCs w:val="24"/>
          <w:lang w:val="en-US"/>
        </w:rPr>
        <w:tab/>
      </w:r>
      <w:r w:rsidRPr="001B7A63">
        <w:rPr>
          <w:rFonts w:ascii="Times New Roman" w:hAnsi="Times New Roman" w:cs="Times New Roman"/>
          <w:sz w:val="24"/>
          <w:szCs w:val="24"/>
          <w:lang w:val="en-US"/>
        </w:rPr>
        <w:br/>
      </w:r>
      <w:r w:rsidRPr="001B7A63">
        <w:rPr>
          <w:rFonts w:ascii="Times New Roman" w:hAnsi="Times New Roman" w:cs="Times New Roman"/>
          <w:sz w:val="23"/>
          <w:szCs w:val="23"/>
          <w:lang w:val="en-US"/>
        </w:rPr>
        <w:t>3.4 Recommendation CM/Rec(2011) 7 on a new notion of media</w:t>
      </w:r>
      <w:r w:rsidRPr="001B7A63">
        <w:rPr>
          <w:rFonts w:ascii="Times New Roman" w:hAnsi="Times New Roman" w:cs="Times New Roman"/>
          <w:sz w:val="24"/>
          <w:szCs w:val="24"/>
          <w:lang w:val="en-US"/>
        </w:rPr>
        <w:tab/>
      </w:r>
      <w:r w:rsidRPr="001B7A63">
        <w:rPr>
          <w:rFonts w:ascii="Times New Roman" w:hAnsi="Times New Roman" w:cs="Times New Roman"/>
          <w:sz w:val="24"/>
          <w:szCs w:val="24"/>
          <w:lang w:val="en-US"/>
        </w:rPr>
        <w:br/>
        <w:t>3.5 Additional Protocol to the Convention on Cybercrime</w:t>
      </w:r>
      <w:r>
        <w:rPr>
          <w:rFonts w:ascii="Times New Roman" w:hAnsi="Times New Roman" w:cs="Times New Roman"/>
          <w:sz w:val="24"/>
          <w:szCs w:val="24"/>
          <w:lang w:val="en-US"/>
        </w:rPr>
        <w:tab/>
      </w:r>
      <w:r>
        <w:rPr>
          <w:rFonts w:ascii="Times New Roman" w:hAnsi="Times New Roman" w:cs="Times New Roman"/>
          <w:sz w:val="24"/>
          <w:szCs w:val="24"/>
          <w:lang w:val="en-US"/>
        </w:rPr>
        <w:br/>
      </w:r>
    </w:p>
    <w:p w:rsidR="009962E3" w:rsidRPr="00895548" w:rsidRDefault="009962E3" w:rsidP="005E6FB8">
      <w:pPr>
        <w:numPr>
          <w:ilvl w:val="0"/>
          <w:numId w:val="18"/>
        </w:numPr>
        <w:tabs>
          <w:tab w:val="num" w:pos="1080"/>
          <w:tab w:val="num" w:pos="2880"/>
        </w:tabs>
        <w:contextualSpacing/>
        <w:jc w:val="both"/>
        <w:rPr>
          <w:rFonts w:ascii="Times New Roman" w:hAnsi="Times New Roman"/>
          <w:b/>
          <w:sz w:val="24"/>
          <w:szCs w:val="24"/>
        </w:rPr>
      </w:pPr>
      <w:r w:rsidRPr="00895548">
        <w:rPr>
          <w:rFonts w:ascii="Times New Roman" w:hAnsi="Times New Roman" w:cs="Times New Roman"/>
          <w:b/>
          <w:sz w:val="24"/>
          <w:szCs w:val="24"/>
          <w:lang w:val="en-US"/>
        </w:rPr>
        <w:t>E</w:t>
      </w:r>
      <w:r>
        <w:rPr>
          <w:rFonts w:ascii="Times New Roman" w:hAnsi="Times New Roman" w:cs="Times New Roman"/>
          <w:b/>
          <w:sz w:val="24"/>
          <w:szCs w:val="24"/>
          <w:lang w:val="en-US"/>
        </w:rPr>
        <w:t xml:space="preserve">uropean </w:t>
      </w:r>
      <w:r w:rsidRPr="00895548">
        <w:rPr>
          <w:rFonts w:ascii="Times New Roman" w:hAnsi="Times New Roman" w:cs="Times New Roman"/>
          <w:b/>
          <w:sz w:val="24"/>
          <w:szCs w:val="24"/>
          <w:lang w:val="en-US"/>
        </w:rPr>
        <w:t>C</w:t>
      </w:r>
      <w:r>
        <w:rPr>
          <w:rFonts w:ascii="Times New Roman" w:hAnsi="Times New Roman" w:cs="Times New Roman"/>
          <w:b/>
          <w:sz w:val="24"/>
          <w:szCs w:val="24"/>
          <w:lang w:val="en-US"/>
        </w:rPr>
        <w:t xml:space="preserve">ourt of </w:t>
      </w:r>
      <w:r w:rsidRPr="00895548">
        <w:rPr>
          <w:rFonts w:ascii="Times New Roman" w:hAnsi="Times New Roman" w:cs="Times New Roman"/>
          <w:b/>
          <w:sz w:val="24"/>
          <w:szCs w:val="24"/>
          <w:lang w:val="en-US"/>
        </w:rPr>
        <w:t>H</w:t>
      </w:r>
      <w:r>
        <w:rPr>
          <w:rFonts w:ascii="Times New Roman" w:hAnsi="Times New Roman" w:cs="Times New Roman"/>
          <w:b/>
          <w:sz w:val="24"/>
          <w:szCs w:val="24"/>
          <w:lang w:val="en-US"/>
        </w:rPr>
        <w:t xml:space="preserve">uman </w:t>
      </w:r>
      <w:r w:rsidRPr="00895548">
        <w:rPr>
          <w:rFonts w:ascii="Times New Roman" w:hAnsi="Times New Roman" w:cs="Times New Roman"/>
          <w:b/>
          <w:sz w:val="24"/>
          <w:szCs w:val="24"/>
          <w:lang w:val="en-US"/>
        </w:rPr>
        <w:t>R</w:t>
      </w:r>
      <w:r>
        <w:rPr>
          <w:rFonts w:ascii="Times New Roman" w:hAnsi="Times New Roman" w:cs="Times New Roman"/>
          <w:b/>
          <w:sz w:val="24"/>
          <w:szCs w:val="24"/>
          <w:lang w:val="en-US"/>
        </w:rPr>
        <w:t>ights</w:t>
      </w:r>
      <w:r w:rsidRPr="008955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approach towards </w:t>
      </w:r>
      <w:r w:rsidRPr="00895548">
        <w:rPr>
          <w:rFonts w:ascii="Times New Roman" w:hAnsi="Times New Roman" w:cs="Times New Roman"/>
          <w:b/>
          <w:sz w:val="24"/>
          <w:szCs w:val="24"/>
          <w:lang w:val="en-US"/>
        </w:rPr>
        <w:t>“hate speech”</w:t>
      </w:r>
      <w:r>
        <w:rPr>
          <w:rFonts w:ascii="Times New Roman" w:hAnsi="Times New Roman" w:cs="Times New Roman"/>
          <w:b/>
          <w:sz w:val="24"/>
          <w:szCs w:val="24"/>
          <w:lang w:val="en-US"/>
        </w:rPr>
        <w:tab/>
      </w:r>
      <w:r>
        <w:rPr>
          <w:rFonts w:ascii="Times New Roman" w:hAnsi="Times New Roman" w:cs="Times New Roman"/>
          <w:b/>
          <w:sz w:val="24"/>
          <w:szCs w:val="24"/>
          <w:lang w:val="en-US"/>
        </w:rPr>
        <w:br/>
      </w:r>
      <w:r w:rsidRPr="00895548">
        <w:rPr>
          <w:rFonts w:ascii="Times New Roman" w:hAnsi="Times New Roman"/>
          <w:b/>
          <w:sz w:val="24"/>
          <w:szCs w:val="24"/>
        </w:rPr>
        <w:t xml:space="preserve"> </w:t>
      </w:r>
    </w:p>
    <w:p w:rsidR="009962E3" w:rsidRDefault="009962E3" w:rsidP="005E6FB8">
      <w:pPr>
        <w:numPr>
          <w:ilvl w:val="0"/>
          <w:numId w:val="18"/>
        </w:numPr>
        <w:tabs>
          <w:tab w:val="num" w:pos="1080"/>
          <w:tab w:val="num" w:pos="2880"/>
        </w:tabs>
        <w:spacing w:after="0"/>
        <w:contextualSpacing/>
        <w:jc w:val="both"/>
        <w:rPr>
          <w:rFonts w:ascii="Times New Roman" w:hAnsi="Times New Roman" w:cs="Times New Roman"/>
          <w:b/>
          <w:sz w:val="24"/>
          <w:szCs w:val="24"/>
          <w:lang w:val="en-US"/>
        </w:rPr>
      </w:pPr>
      <w:r w:rsidRPr="00895548">
        <w:rPr>
          <w:rFonts w:ascii="Times New Roman" w:hAnsi="Times New Roman" w:cs="Times New Roman"/>
          <w:b/>
          <w:sz w:val="24"/>
          <w:szCs w:val="24"/>
          <w:lang w:val="en-US"/>
        </w:rPr>
        <w:t>E</w:t>
      </w:r>
      <w:r>
        <w:rPr>
          <w:rFonts w:ascii="Times New Roman" w:hAnsi="Times New Roman" w:cs="Times New Roman"/>
          <w:b/>
          <w:sz w:val="24"/>
          <w:szCs w:val="24"/>
          <w:lang w:val="en-US"/>
        </w:rPr>
        <w:t xml:space="preserve">uropean </w:t>
      </w:r>
      <w:r w:rsidRPr="00895548">
        <w:rPr>
          <w:rFonts w:ascii="Times New Roman" w:hAnsi="Times New Roman" w:cs="Times New Roman"/>
          <w:b/>
          <w:sz w:val="24"/>
          <w:szCs w:val="24"/>
          <w:lang w:val="en-US"/>
        </w:rPr>
        <w:t>C</w:t>
      </w:r>
      <w:r>
        <w:rPr>
          <w:rFonts w:ascii="Times New Roman" w:hAnsi="Times New Roman" w:cs="Times New Roman"/>
          <w:b/>
          <w:sz w:val="24"/>
          <w:szCs w:val="24"/>
          <w:lang w:val="en-US"/>
        </w:rPr>
        <w:t xml:space="preserve">ourt of </w:t>
      </w:r>
      <w:r w:rsidRPr="00895548">
        <w:rPr>
          <w:rFonts w:ascii="Times New Roman" w:hAnsi="Times New Roman" w:cs="Times New Roman"/>
          <w:b/>
          <w:sz w:val="24"/>
          <w:szCs w:val="24"/>
          <w:lang w:val="en-US"/>
        </w:rPr>
        <w:t>H</w:t>
      </w:r>
      <w:r>
        <w:rPr>
          <w:rFonts w:ascii="Times New Roman" w:hAnsi="Times New Roman" w:cs="Times New Roman"/>
          <w:b/>
          <w:sz w:val="24"/>
          <w:szCs w:val="24"/>
          <w:lang w:val="en-US"/>
        </w:rPr>
        <w:t xml:space="preserve">uman </w:t>
      </w:r>
      <w:r w:rsidRPr="00895548">
        <w:rPr>
          <w:rFonts w:ascii="Times New Roman" w:hAnsi="Times New Roman" w:cs="Times New Roman"/>
          <w:b/>
          <w:sz w:val="24"/>
          <w:szCs w:val="24"/>
          <w:lang w:val="en-US"/>
        </w:rPr>
        <w:t>R</w:t>
      </w:r>
      <w:r>
        <w:rPr>
          <w:rFonts w:ascii="Times New Roman" w:hAnsi="Times New Roman" w:cs="Times New Roman"/>
          <w:b/>
          <w:sz w:val="24"/>
          <w:szCs w:val="24"/>
          <w:lang w:val="en-US"/>
        </w:rPr>
        <w:t>ights</w:t>
      </w:r>
      <w:r w:rsidRPr="008955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case law on</w:t>
      </w:r>
      <w:r w:rsidRPr="00895548">
        <w:rPr>
          <w:rFonts w:ascii="Times New Roman" w:hAnsi="Times New Roman" w:cs="Times New Roman"/>
          <w:b/>
          <w:sz w:val="24"/>
          <w:szCs w:val="24"/>
          <w:lang w:val="en-US"/>
        </w:rPr>
        <w:t xml:space="preserve"> “hate speech”</w:t>
      </w:r>
      <w:r>
        <w:rPr>
          <w:rFonts w:ascii="Times New Roman" w:hAnsi="Times New Roman" w:cs="Times New Roman"/>
          <w:b/>
          <w:sz w:val="24"/>
          <w:szCs w:val="24"/>
          <w:lang w:val="en-US"/>
        </w:rPr>
        <w:tab/>
      </w:r>
    </w:p>
    <w:p w:rsidR="009962E3" w:rsidRDefault="009962E3" w:rsidP="00895D49">
      <w:pPr>
        <w:pStyle w:val="ListParagraph"/>
        <w:numPr>
          <w:ilvl w:val="1"/>
          <w:numId w:val="18"/>
        </w:numPr>
        <w:spacing w:before="100" w:beforeAutospacing="1" w:after="100" w:afterAutospacing="1" w:line="240" w:lineRule="auto"/>
        <w:ind w:left="900"/>
        <w:jc w:val="both"/>
        <w:rPr>
          <w:rFonts w:ascii="Times New Roman" w:hAnsi="Times New Roman"/>
          <w:sz w:val="24"/>
          <w:szCs w:val="24"/>
        </w:rPr>
      </w:pPr>
      <w:r w:rsidRPr="00445A5A">
        <w:rPr>
          <w:rFonts w:ascii="Times New Roman" w:hAnsi="Times New Roman"/>
          <w:sz w:val="24"/>
          <w:szCs w:val="24"/>
        </w:rPr>
        <w:t xml:space="preserve">Handyside v </w:t>
      </w:r>
      <w:r>
        <w:rPr>
          <w:rFonts w:ascii="Times New Roman" w:hAnsi="Times New Roman"/>
          <w:sz w:val="24"/>
          <w:szCs w:val="24"/>
        </w:rPr>
        <w:t xml:space="preserve">the </w:t>
      </w:r>
      <w:smartTag w:uri="urn:schemas-microsoft-com:office:smarttags" w:element="country-region">
        <w:smartTag w:uri="urn:schemas-microsoft-com:office:smarttags" w:element="place">
          <w:r w:rsidRPr="00445A5A">
            <w:rPr>
              <w:rFonts w:ascii="Times New Roman" w:hAnsi="Times New Roman"/>
              <w:sz w:val="24"/>
              <w:szCs w:val="24"/>
            </w:rPr>
            <w:t>United Kingdom</w:t>
          </w:r>
        </w:smartTag>
      </w:smartTag>
    </w:p>
    <w:p w:rsidR="009962E3" w:rsidRDefault="009962E3" w:rsidP="00895D49">
      <w:pPr>
        <w:pStyle w:val="ListParagraph"/>
        <w:numPr>
          <w:ilvl w:val="1"/>
          <w:numId w:val="18"/>
        </w:numPr>
        <w:spacing w:before="100" w:beforeAutospacing="1" w:after="100" w:afterAutospacing="1" w:line="240" w:lineRule="auto"/>
        <w:ind w:left="900"/>
        <w:jc w:val="both"/>
        <w:rPr>
          <w:rFonts w:ascii="Times New Roman" w:hAnsi="Times New Roman"/>
          <w:sz w:val="24"/>
          <w:szCs w:val="24"/>
        </w:rPr>
      </w:pPr>
      <w:r w:rsidRPr="00445A5A">
        <w:rPr>
          <w:rFonts w:ascii="Times New Roman" w:hAnsi="Times New Roman"/>
          <w:sz w:val="24"/>
          <w:szCs w:val="24"/>
        </w:rPr>
        <w:t xml:space="preserve">Jersild v </w:t>
      </w:r>
      <w:smartTag w:uri="urn:schemas-microsoft-com:office:smarttags" w:element="country-region">
        <w:smartTag w:uri="urn:schemas-microsoft-com:office:smarttags" w:element="place">
          <w:r w:rsidRPr="00445A5A">
            <w:rPr>
              <w:rFonts w:ascii="Times New Roman" w:hAnsi="Times New Roman"/>
              <w:sz w:val="24"/>
              <w:szCs w:val="24"/>
            </w:rPr>
            <w:t>Denmark</w:t>
          </w:r>
        </w:smartTag>
      </w:smartTag>
    </w:p>
    <w:p w:rsidR="009962E3" w:rsidRDefault="009962E3" w:rsidP="009C0A1B">
      <w:pPr>
        <w:pStyle w:val="ListParagraph"/>
        <w:numPr>
          <w:ilvl w:val="1"/>
          <w:numId w:val="18"/>
        </w:numPr>
        <w:spacing w:after="0" w:line="240" w:lineRule="auto"/>
        <w:ind w:left="896" w:hanging="357"/>
        <w:jc w:val="both"/>
        <w:rPr>
          <w:rFonts w:ascii="Times New Roman" w:hAnsi="Times New Roman"/>
          <w:sz w:val="24"/>
          <w:szCs w:val="24"/>
        </w:rPr>
      </w:pPr>
      <w:r w:rsidRPr="00461DD4">
        <w:rPr>
          <w:rFonts w:ascii="Times New Roman" w:hAnsi="Times New Roman"/>
          <w:sz w:val="24"/>
          <w:szCs w:val="24"/>
        </w:rPr>
        <w:t xml:space="preserve">Muslum Gunduz v. </w:t>
      </w:r>
      <w:smartTag w:uri="urn:schemas-microsoft-com:office:smarttags" w:element="place">
        <w:smartTag w:uri="urn:schemas-microsoft-com:office:smarttags" w:element="country-region">
          <w:r w:rsidRPr="00461DD4">
            <w:rPr>
              <w:rFonts w:ascii="Times New Roman" w:hAnsi="Times New Roman"/>
              <w:sz w:val="24"/>
              <w:szCs w:val="24"/>
            </w:rPr>
            <w:t>Turkey</w:t>
          </w:r>
        </w:smartTag>
      </w:smartTag>
    </w:p>
    <w:p w:rsidR="009962E3" w:rsidRPr="00461DD4" w:rsidRDefault="009962E3" w:rsidP="009C0A1B">
      <w:pPr>
        <w:pStyle w:val="ListParagraph"/>
        <w:spacing w:after="0" w:line="240" w:lineRule="auto"/>
        <w:ind w:left="539"/>
        <w:jc w:val="both"/>
        <w:rPr>
          <w:rFonts w:ascii="Times New Roman" w:hAnsi="Times New Roman"/>
          <w:sz w:val="24"/>
          <w:szCs w:val="24"/>
        </w:rPr>
      </w:pPr>
    </w:p>
    <w:p w:rsidR="009962E3" w:rsidRPr="00C342BB" w:rsidRDefault="009962E3" w:rsidP="005E6FB8">
      <w:pPr>
        <w:numPr>
          <w:ilvl w:val="0"/>
          <w:numId w:val="18"/>
        </w:numPr>
        <w:tabs>
          <w:tab w:val="num" w:pos="1080"/>
          <w:tab w:val="num" w:pos="2880"/>
        </w:tabs>
        <w:spacing w:after="0"/>
        <w:contextualSpacing/>
        <w:jc w:val="both"/>
        <w:rPr>
          <w:rFonts w:ascii="Times New Roman" w:hAnsi="Times New Roman" w:cs="Times New Roman"/>
          <w:b/>
          <w:sz w:val="24"/>
          <w:szCs w:val="24"/>
          <w:lang w:val="en-US"/>
        </w:rPr>
      </w:pPr>
      <w:r w:rsidRPr="00C342BB">
        <w:rPr>
          <w:rFonts w:ascii="Times New Roman" w:hAnsi="Times New Roman" w:cs="Times New Roman"/>
          <w:b/>
          <w:sz w:val="24"/>
          <w:szCs w:val="24"/>
          <w:lang w:val="en-US"/>
        </w:rPr>
        <w:t>Macedonian regulatory framework on “</w:t>
      </w:r>
      <w:r>
        <w:rPr>
          <w:rFonts w:ascii="Times New Roman" w:hAnsi="Times New Roman" w:cs="Times New Roman"/>
          <w:b/>
          <w:sz w:val="24"/>
          <w:szCs w:val="24"/>
          <w:lang w:val="en-US"/>
        </w:rPr>
        <w:t>h</w:t>
      </w:r>
      <w:r w:rsidRPr="00C342BB">
        <w:rPr>
          <w:rFonts w:ascii="Times New Roman" w:hAnsi="Times New Roman" w:cs="Times New Roman"/>
          <w:b/>
          <w:sz w:val="24"/>
          <w:szCs w:val="24"/>
          <w:lang w:val="en-US"/>
        </w:rPr>
        <w:t>ate speech”</w:t>
      </w:r>
      <w:r w:rsidRPr="00C342BB">
        <w:rPr>
          <w:rFonts w:ascii="Times New Roman" w:hAnsi="Times New Roman" w:cs="Times New Roman"/>
          <w:b/>
          <w:sz w:val="24"/>
          <w:szCs w:val="24"/>
          <w:lang w:val="en-US"/>
        </w:rPr>
        <w:tab/>
      </w:r>
    </w:p>
    <w:p w:rsidR="009962E3" w:rsidRDefault="009962E3" w:rsidP="00895D49">
      <w:pPr>
        <w:tabs>
          <w:tab w:val="num" w:pos="2880"/>
        </w:tabs>
        <w:spacing w:after="0"/>
        <w:ind w:left="540"/>
        <w:contextualSpacing/>
        <w:jc w:val="both"/>
        <w:rPr>
          <w:rFonts w:ascii="Times New Roman" w:hAnsi="Times New Roman" w:cs="Times New Roman"/>
          <w:sz w:val="24"/>
          <w:szCs w:val="24"/>
          <w:lang w:val="en-US"/>
        </w:rPr>
      </w:pPr>
      <w:r w:rsidRPr="00895D49">
        <w:rPr>
          <w:rFonts w:ascii="Times New Roman" w:hAnsi="Times New Roman" w:cs="Times New Roman"/>
          <w:sz w:val="24"/>
          <w:szCs w:val="24"/>
          <w:lang w:val="en-US"/>
        </w:rPr>
        <w:t xml:space="preserve">6.1 Law on </w:t>
      </w:r>
      <w:r>
        <w:rPr>
          <w:rFonts w:ascii="Times New Roman" w:hAnsi="Times New Roman" w:cs="Times New Roman"/>
          <w:sz w:val="24"/>
          <w:szCs w:val="24"/>
          <w:lang w:val="en-US"/>
        </w:rPr>
        <w:t>A</w:t>
      </w:r>
      <w:r w:rsidRPr="00895D49">
        <w:rPr>
          <w:rFonts w:ascii="Times New Roman" w:hAnsi="Times New Roman" w:cs="Times New Roman"/>
          <w:sz w:val="24"/>
          <w:szCs w:val="24"/>
          <w:lang w:val="en-US"/>
        </w:rPr>
        <w:t xml:space="preserve">udio and </w:t>
      </w:r>
      <w:r>
        <w:rPr>
          <w:rFonts w:ascii="Times New Roman" w:hAnsi="Times New Roman" w:cs="Times New Roman"/>
          <w:sz w:val="24"/>
          <w:szCs w:val="24"/>
          <w:lang w:val="en-US"/>
        </w:rPr>
        <w:t>A</w:t>
      </w:r>
      <w:r w:rsidRPr="00895D49">
        <w:rPr>
          <w:rFonts w:ascii="Times New Roman" w:hAnsi="Times New Roman" w:cs="Times New Roman"/>
          <w:sz w:val="24"/>
          <w:szCs w:val="24"/>
          <w:lang w:val="en-US"/>
        </w:rPr>
        <w:t xml:space="preserve">udiovisual </w:t>
      </w:r>
      <w:r>
        <w:rPr>
          <w:rFonts w:ascii="Times New Roman" w:hAnsi="Times New Roman" w:cs="Times New Roman"/>
          <w:sz w:val="24"/>
          <w:szCs w:val="24"/>
          <w:lang w:val="en-US"/>
        </w:rPr>
        <w:t>M</w:t>
      </w:r>
      <w:r w:rsidRPr="00895D49">
        <w:rPr>
          <w:rFonts w:ascii="Times New Roman" w:hAnsi="Times New Roman" w:cs="Times New Roman"/>
          <w:sz w:val="24"/>
          <w:szCs w:val="24"/>
          <w:lang w:val="en-US"/>
        </w:rPr>
        <w:t xml:space="preserve">edia </w:t>
      </w:r>
      <w:r>
        <w:rPr>
          <w:rFonts w:ascii="Times New Roman" w:hAnsi="Times New Roman" w:cs="Times New Roman"/>
          <w:sz w:val="24"/>
          <w:szCs w:val="24"/>
          <w:lang w:val="en-US"/>
        </w:rPr>
        <w:t>S</w:t>
      </w:r>
      <w:r w:rsidRPr="00895D49">
        <w:rPr>
          <w:rFonts w:ascii="Times New Roman" w:hAnsi="Times New Roman" w:cs="Times New Roman"/>
          <w:sz w:val="24"/>
          <w:szCs w:val="24"/>
          <w:lang w:val="en-US"/>
        </w:rPr>
        <w:t>ervices</w:t>
      </w:r>
    </w:p>
    <w:p w:rsidR="009962E3" w:rsidRPr="00895D49" w:rsidRDefault="009962E3" w:rsidP="00895D49">
      <w:pPr>
        <w:tabs>
          <w:tab w:val="num" w:pos="2880"/>
        </w:tabs>
        <w:spacing w:after="0"/>
        <w:ind w:left="54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6.2 Criminal Code</w:t>
      </w:r>
      <w:r>
        <w:rPr>
          <w:rFonts w:ascii="Times New Roman" w:hAnsi="Times New Roman" w:cs="Times New Roman"/>
          <w:sz w:val="24"/>
          <w:szCs w:val="24"/>
          <w:lang w:val="en-US"/>
        </w:rPr>
        <w:tab/>
      </w:r>
      <w:r>
        <w:rPr>
          <w:rFonts w:ascii="Times New Roman" w:hAnsi="Times New Roman" w:cs="Times New Roman"/>
          <w:sz w:val="24"/>
          <w:szCs w:val="24"/>
          <w:lang w:val="en-US"/>
        </w:rPr>
        <w:br/>
      </w:r>
      <w:r w:rsidRPr="00895D49">
        <w:rPr>
          <w:rFonts w:ascii="Times New Roman" w:hAnsi="Times New Roman" w:cs="Times New Roman"/>
          <w:sz w:val="24"/>
          <w:szCs w:val="24"/>
          <w:lang w:val="en-US"/>
        </w:rPr>
        <w:t xml:space="preserve">6.3 </w:t>
      </w:r>
      <w:r w:rsidRPr="00895D49">
        <w:rPr>
          <w:rFonts w:ascii="Times New Roman" w:hAnsi="Times New Roman" w:cs="Times New Roman"/>
          <w:bCs/>
          <w:sz w:val="24"/>
          <w:szCs w:val="24"/>
          <w:lang w:val="en-US"/>
        </w:rPr>
        <w:t xml:space="preserve">Law on Prevention of and Protection </w:t>
      </w:r>
      <w:r>
        <w:rPr>
          <w:rFonts w:ascii="Times New Roman" w:hAnsi="Times New Roman" w:cs="Times New Roman"/>
          <w:bCs/>
          <w:sz w:val="24"/>
          <w:szCs w:val="24"/>
          <w:lang w:val="en-US"/>
        </w:rPr>
        <w:t>a</w:t>
      </w:r>
      <w:r w:rsidRPr="00895D49">
        <w:rPr>
          <w:rFonts w:ascii="Times New Roman" w:hAnsi="Times New Roman" w:cs="Times New Roman"/>
          <w:bCs/>
          <w:sz w:val="24"/>
          <w:szCs w:val="24"/>
          <w:lang w:val="en-US"/>
        </w:rPr>
        <w:t>gainst Discrimination:</w:t>
      </w:r>
    </w:p>
    <w:p w:rsidR="009962E3" w:rsidRPr="00895548" w:rsidRDefault="009962E3" w:rsidP="00DD3AE0">
      <w:pPr>
        <w:pStyle w:val="ListParagraph"/>
        <w:rPr>
          <w:rFonts w:ascii="Times New Roman" w:hAnsi="Times New Roman"/>
          <w:b/>
          <w:sz w:val="24"/>
          <w:szCs w:val="24"/>
        </w:rPr>
      </w:pPr>
    </w:p>
    <w:p w:rsidR="009962E3" w:rsidRDefault="009962E3" w:rsidP="005E6FB8">
      <w:pPr>
        <w:numPr>
          <w:ilvl w:val="0"/>
          <w:numId w:val="18"/>
        </w:numPr>
        <w:tabs>
          <w:tab w:val="num" w:pos="1080"/>
          <w:tab w:val="num" w:pos="2880"/>
        </w:tabs>
        <w:spacing w:after="0"/>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Guidelines for monitoring “hate speech” </w:t>
      </w:r>
    </w:p>
    <w:p w:rsidR="009962E3" w:rsidRPr="00372583" w:rsidRDefault="009962E3" w:rsidP="00E14740">
      <w:pPr>
        <w:pStyle w:val="ListParagraph"/>
        <w:tabs>
          <w:tab w:val="num" w:pos="2880"/>
        </w:tabs>
        <w:spacing w:after="0"/>
        <w:ind w:left="630"/>
        <w:contextualSpacing/>
        <w:jc w:val="both"/>
        <w:rPr>
          <w:rFonts w:ascii="Times New Roman" w:hAnsi="Times New Roman"/>
          <w:sz w:val="24"/>
          <w:szCs w:val="24"/>
        </w:rPr>
      </w:pPr>
      <w:r w:rsidRPr="00372583">
        <w:rPr>
          <w:rFonts w:ascii="Times New Roman" w:hAnsi="Times New Roman"/>
          <w:sz w:val="24"/>
          <w:szCs w:val="24"/>
        </w:rPr>
        <w:t xml:space="preserve">7.1 </w:t>
      </w:r>
      <w:r w:rsidRPr="00372583">
        <w:rPr>
          <w:rFonts w:ascii="Times New Roman" w:hAnsi="Times New Roman"/>
          <w:bCs/>
          <w:sz w:val="24"/>
          <w:szCs w:val="24"/>
        </w:rPr>
        <w:t>What was the context of the expression?</w:t>
      </w:r>
    </w:p>
    <w:p w:rsidR="009962E3" w:rsidRPr="002C1ADF" w:rsidRDefault="009962E3" w:rsidP="00E14740">
      <w:pPr>
        <w:pStyle w:val="ListParagraph"/>
        <w:spacing w:after="0"/>
        <w:ind w:left="630"/>
        <w:rPr>
          <w:rFonts w:ascii="Times New Roman" w:hAnsi="Times New Roman"/>
          <w:sz w:val="24"/>
          <w:szCs w:val="24"/>
        </w:rPr>
      </w:pPr>
      <w:r w:rsidRPr="002C1ADF">
        <w:rPr>
          <w:rFonts w:ascii="Times New Roman" w:hAnsi="Times New Roman"/>
          <w:sz w:val="24"/>
          <w:szCs w:val="24"/>
        </w:rPr>
        <w:t xml:space="preserve">7.2 </w:t>
      </w:r>
      <w:r w:rsidRPr="002C1ADF">
        <w:rPr>
          <w:rFonts w:ascii="Times New Roman" w:hAnsi="Times New Roman"/>
          <w:bCs/>
          <w:sz w:val="24"/>
          <w:szCs w:val="24"/>
        </w:rPr>
        <w:t>Who was the person expressing hi</w:t>
      </w:r>
      <w:r>
        <w:rPr>
          <w:rFonts w:ascii="Times New Roman" w:hAnsi="Times New Roman"/>
          <w:bCs/>
          <w:sz w:val="24"/>
          <w:szCs w:val="24"/>
        </w:rPr>
        <w:t>m</w:t>
      </w:r>
      <w:r w:rsidRPr="002C1ADF">
        <w:rPr>
          <w:rFonts w:ascii="Times New Roman" w:hAnsi="Times New Roman"/>
          <w:bCs/>
          <w:sz w:val="24"/>
          <w:szCs w:val="24"/>
        </w:rPr>
        <w:t>/herself?</w:t>
      </w:r>
    </w:p>
    <w:p w:rsidR="009962E3" w:rsidRPr="00EB7701" w:rsidRDefault="009962E3" w:rsidP="00E14740">
      <w:pPr>
        <w:pStyle w:val="ListParagraph"/>
        <w:tabs>
          <w:tab w:val="num" w:pos="2880"/>
        </w:tabs>
        <w:spacing w:after="0"/>
        <w:ind w:left="630"/>
        <w:contextualSpacing/>
        <w:jc w:val="both"/>
        <w:rPr>
          <w:rFonts w:ascii="Times New Roman" w:hAnsi="Times New Roman"/>
          <w:sz w:val="24"/>
          <w:szCs w:val="24"/>
        </w:rPr>
      </w:pPr>
      <w:r w:rsidRPr="00EB7701">
        <w:rPr>
          <w:rFonts w:ascii="Times New Roman" w:hAnsi="Times New Roman"/>
          <w:sz w:val="24"/>
          <w:szCs w:val="24"/>
        </w:rPr>
        <w:t xml:space="preserve">7.3 </w:t>
      </w:r>
      <w:r w:rsidRPr="00EB7701">
        <w:rPr>
          <w:rFonts w:ascii="Times New Roman" w:hAnsi="Times New Roman"/>
          <w:bCs/>
          <w:sz w:val="24"/>
          <w:szCs w:val="24"/>
        </w:rPr>
        <w:t xml:space="preserve">Was there </w:t>
      </w:r>
      <w:r>
        <w:rPr>
          <w:rFonts w:ascii="Times New Roman" w:hAnsi="Times New Roman"/>
          <w:bCs/>
          <w:sz w:val="24"/>
          <w:szCs w:val="24"/>
        </w:rPr>
        <w:t>an</w:t>
      </w:r>
      <w:r w:rsidRPr="00EB7701">
        <w:rPr>
          <w:rFonts w:ascii="Times New Roman" w:hAnsi="Times New Roman"/>
          <w:bCs/>
          <w:sz w:val="24"/>
          <w:szCs w:val="24"/>
        </w:rPr>
        <w:t xml:space="preserve"> intention to provoke hate speech?</w:t>
      </w:r>
    </w:p>
    <w:p w:rsidR="009962E3" w:rsidRPr="00EB7701" w:rsidRDefault="009962E3" w:rsidP="00E14740">
      <w:pPr>
        <w:pStyle w:val="ListParagraph"/>
        <w:spacing w:after="0"/>
        <w:ind w:left="630"/>
        <w:rPr>
          <w:rFonts w:ascii="Times New Roman" w:hAnsi="Times New Roman"/>
          <w:sz w:val="24"/>
          <w:szCs w:val="24"/>
        </w:rPr>
      </w:pPr>
      <w:r w:rsidRPr="00EB7701">
        <w:rPr>
          <w:rFonts w:ascii="Times New Roman" w:hAnsi="Times New Roman"/>
          <w:sz w:val="24"/>
          <w:szCs w:val="24"/>
        </w:rPr>
        <w:t xml:space="preserve">7.4 </w:t>
      </w:r>
      <w:r w:rsidRPr="00EB7701">
        <w:rPr>
          <w:rFonts w:ascii="Times New Roman" w:hAnsi="Times New Roman"/>
          <w:bCs/>
          <w:sz w:val="24"/>
          <w:szCs w:val="24"/>
        </w:rPr>
        <w:t>What was the content of the expression?</w:t>
      </w:r>
    </w:p>
    <w:p w:rsidR="009962E3" w:rsidRPr="00EB7701" w:rsidRDefault="009962E3" w:rsidP="00EB7701">
      <w:pPr>
        <w:pStyle w:val="ListParagraph"/>
        <w:tabs>
          <w:tab w:val="num" w:pos="2880"/>
        </w:tabs>
        <w:spacing w:after="0"/>
        <w:ind w:left="630"/>
        <w:contextualSpacing/>
        <w:jc w:val="both"/>
        <w:rPr>
          <w:rFonts w:ascii="Times New Roman" w:hAnsi="Times New Roman"/>
          <w:sz w:val="24"/>
          <w:szCs w:val="24"/>
        </w:rPr>
      </w:pPr>
      <w:r w:rsidRPr="00EB7701">
        <w:rPr>
          <w:rFonts w:ascii="Times New Roman" w:hAnsi="Times New Roman"/>
          <w:sz w:val="24"/>
          <w:szCs w:val="24"/>
        </w:rPr>
        <w:t xml:space="preserve">7.5 </w:t>
      </w:r>
      <w:r w:rsidRPr="00EB7701">
        <w:rPr>
          <w:rFonts w:ascii="Times New Roman" w:hAnsi="Times New Roman"/>
          <w:bCs/>
          <w:sz w:val="24"/>
          <w:szCs w:val="24"/>
        </w:rPr>
        <w:t>What were the extent and the magnitude of the expression?</w:t>
      </w:r>
    </w:p>
    <w:p w:rsidR="009962E3" w:rsidRDefault="009962E3" w:rsidP="00E14740">
      <w:pPr>
        <w:pStyle w:val="ListParagraph"/>
        <w:ind w:left="630"/>
        <w:rPr>
          <w:rFonts w:ascii="Times New Roman" w:hAnsi="Times New Roman"/>
          <w:bCs/>
          <w:sz w:val="24"/>
          <w:szCs w:val="24"/>
        </w:rPr>
      </w:pPr>
      <w:r w:rsidRPr="001B7A63">
        <w:rPr>
          <w:rFonts w:ascii="Times New Roman" w:hAnsi="Times New Roman"/>
          <w:sz w:val="24"/>
          <w:szCs w:val="24"/>
        </w:rPr>
        <w:t xml:space="preserve">7.6 </w:t>
      </w:r>
      <w:r w:rsidRPr="001B7A63">
        <w:rPr>
          <w:rFonts w:ascii="Times New Roman" w:hAnsi="Times New Roman"/>
          <w:bCs/>
          <w:sz w:val="24"/>
          <w:szCs w:val="24"/>
        </w:rPr>
        <w:t>What was the likelihood of impact on the audience and its future actions?</w:t>
      </w:r>
    </w:p>
    <w:p w:rsidR="009962E3" w:rsidRPr="005E6FB8" w:rsidRDefault="009962E3" w:rsidP="005E6FB8">
      <w:pPr>
        <w:numPr>
          <w:ilvl w:val="0"/>
          <w:numId w:val="18"/>
        </w:numPr>
        <w:tabs>
          <w:tab w:val="num" w:pos="1080"/>
          <w:tab w:val="num" w:pos="2880"/>
        </w:tabs>
        <w:spacing w:after="0"/>
        <w:contextualSpacing/>
        <w:jc w:val="both"/>
        <w:rPr>
          <w:rFonts w:ascii="Times New Roman" w:hAnsi="Times New Roman" w:cs="Times New Roman"/>
          <w:b/>
          <w:sz w:val="24"/>
          <w:szCs w:val="24"/>
          <w:lang w:val="en-US"/>
        </w:rPr>
      </w:pPr>
      <w:r>
        <w:rPr>
          <w:rFonts w:ascii="Times New Roman" w:hAnsi="Times New Roman"/>
          <w:b/>
          <w:bCs/>
          <w:sz w:val="24"/>
          <w:szCs w:val="24"/>
        </w:rPr>
        <w:t>An Overview of Other Regulatory Bodies’ Practices in Monitoring Hate Speech</w:t>
      </w:r>
    </w:p>
    <w:p w:rsidR="009962E3" w:rsidRDefault="009962E3" w:rsidP="005E6FB8">
      <w:pPr>
        <w:tabs>
          <w:tab w:val="num" w:pos="2880"/>
        </w:tabs>
        <w:spacing w:after="0"/>
        <w:ind w:left="270"/>
        <w:contextualSpacing/>
        <w:jc w:val="both"/>
        <w:rPr>
          <w:rFonts w:ascii="Times New Roman" w:hAnsi="Times New Roman" w:cs="Times New Roman"/>
          <w:b/>
          <w:sz w:val="24"/>
          <w:szCs w:val="24"/>
          <w:lang w:val="en-US"/>
        </w:rPr>
      </w:pPr>
    </w:p>
    <w:p w:rsidR="009962E3" w:rsidRDefault="009962E3" w:rsidP="005E6FB8">
      <w:pPr>
        <w:numPr>
          <w:ilvl w:val="0"/>
          <w:numId w:val="18"/>
        </w:numPr>
        <w:tabs>
          <w:tab w:val="num" w:pos="1080"/>
          <w:tab w:val="num" w:pos="2880"/>
        </w:tabs>
        <w:spacing w:after="0"/>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Conclusions and </w:t>
      </w:r>
      <w:r w:rsidRPr="00895548">
        <w:rPr>
          <w:rFonts w:ascii="Times New Roman" w:hAnsi="Times New Roman" w:cs="Times New Roman"/>
          <w:b/>
          <w:sz w:val="24"/>
          <w:szCs w:val="24"/>
          <w:lang w:val="en-US"/>
        </w:rPr>
        <w:t>Recommendations</w:t>
      </w:r>
      <w:r>
        <w:rPr>
          <w:rFonts w:ascii="Times New Roman" w:hAnsi="Times New Roman" w:cs="Times New Roman"/>
          <w:b/>
          <w:sz w:val="24"/>
          <w:szCs w:val="24"/>
          <w:lang w:val="en-US"/>
        </w:rPr>
        <w:t xml:space="preserve"> </w:t>
      </w:r>
    </w:p>
    <w:p w:rsidR="009962E3" w:rsidRPr="002B4DDB" w:rsidRDefault="009962E3" w:rsidP="00DD0400">
      <w:pPr>
        <w:tabs>
          <w:tab w:val="num" w:pos="1080"/>
          <w:tab w:val="num" w:pos="2880"/>
        </w:tabs>
        <w:spacing w:after="0"/>
        <w:ind w:left="270"/>
        <w:contextualSpacing/>
        <w:jc w:val="both"/>
        <w:rPr>
          <w:rFonts w:ascii="Times New Roman" w:hAnsi="Times New Roman" w:cs="Times New Roman"/>
          <w:b/>
          <w:sz w:val="24"/>
          <w:szCs w:val="24"/>
          <w:lang w:val="en-US"/>
        </w:rPr>
      </w:pPr>
    </w:p>
    <w:p w:rsidR="009962E3" w:rsidRPr="00DD3AE0" w:rsidRDefault="009962E3" w:rsidP="00957C51">
      <w:pPr>
        <w:pStyle w:val="ListParagraph"/>
        <w:numPr>
          <w:ilvl w:val="0"/>
          <w:numId w:val="33"/>
        </w:numPr>
        <w:ind w:left="360"/>
        <w:rPr>
          <w:rFonts w:ascii="Times New Roman" w:hAnsi="Times New Roman"/>
          <w:b/>
          <w:sz w:val="28"/>
          <w:szCs w:val="28"/>
        </w:rPr>
      </w:pPr>
      <w:r>
        <w:rPr>
          <w:rFonts w:ascii="Times New Roman" w:hAnsi="Times New Roman"/>
          <w:b/>
          <w:sz w:val="28"/>
          <w:szCs w:val="28"/>
        </w:rPr>
        <w:br w:type="page"/>
      </w:r>
      <w:r w:rsidRPr="00DD3AE0">
        <w:rPr>
          <w:rFonts w:ascii="Times New Roman" w:hAnsi="Times New Roman"/>
          <w:b/>
          <w:sz w:val="28"/>
          <w:szCs w:val="28"/>
        </w:rPr>
        <w:t xml:space="preserve">Introduction </w:t>
      </w:r>
    </w:p>
    <w:p w:rsidR="009962E3" w:rsidRPr="004B3159" w:rsidRDefault="009962E3" w:rsidP="004B3159">
      <w:pPr>
        <w:tabs>
          <w:tab w:val="num" w:pos="2160"/>
          <w:tab w:val="num" w:pos="2880"/>
        </w:tabs>
        <w:jc w:val="both"/>
        <w:rPr>
          <w:rFonts w:ascii="Times New Roman" w:hAnsi="Times New Roman" w:cs="Times New Roman"/>
          <w:sz w:val="24"/>
          <w:szCs w:val="24"/>
          <w:lang w:val="en-US"/>
        </w:rPr>
      </w:pPr>
    </w:p>
    <w:p w:rsidR="009962E3" w:rsidRDefault="009962E3" w:rsidP="004B3159">
      <w:pPr>
        <w:tabs>
          <w:tab w:val="num" w:pos="2160"/>
          <w:tab w:val="num" w:pos="2880"/>
        </w:tabs>
        <w:jc w:val="both"/>
        <w:rPr>
          <w:rFonts w:ascii="Times New Roman" w:hAnsi="Times New Roman" w:cs="Times New Roman"/>
          <w:color w:val="000000"/>
          <w:sz w:val="24"/>
          <w:szCs w:val="24"/>
          <w:shd w:val="clear" w:color="auto" w:fill="FFFFFF"/>
        </w:rPr>
      </w:pPr>
      <w:r w:rsidRPr="00CD772B">
        <w:rPr>
          <w:rFonts w:ascii="Times New Roman" w:hAnsi="Times New Roman" w:cs="Times New Roman"/>
          <w:sz w:val="24"/>
          <w:szCs w:val="24"/>
          <w:lang w:val="en-US"/>
        </w:rPr>
        <w:t>With the adoption of the Audiovisual Media Services Directive</w:t>
      </w:r>
      <w:r>
        <w:rPr>
          <w:rFonts w:ascii="Times New Roman" w:hAnsi="Times New Roman" w:cs="Times New Roman"/>
          <w:sz w:val="24"/>
          <w:szCs w:val="24"/>
          <w:lang w:val="mk-MK"/>
        </w:rPr>
        <w:t>,</w:t>
      </w:r>
      <w:r w:rsidRPr="00CD772B">
        <w:rPr>
          <w:rFonts w:ascii="Times New Roman" w:hAnsi="Times New Roman" w:cs="Times New Roman"/>
          <w:sz w:val="24"/>
          <w:szCs w:val="24"/>
          <w:lang w:val="en-US"/>
        </w:rPr>
        <w:t xml:space="preserve"> </w:t>
      </w:r>
      <w:r w:rsidRPr="00CD772B">
        <w:rPr>
          <w:rFonts w:ascii="Times New Roman" w:hAnsi="Times New Roman" w:cs="Times New Roman"/>
          <w:color w:val="000000"/>
          <w:sz w:val="24"/>
          <w:szCs w:val="24"/>
          <w:shd w:val="clear" w:color="auto" w:fill="FFFFFF"/>
        </w:rPr>
        <w:t>the Europ</w:t>
      </w:r>
      <w:r>
        <w:rPr>
          <w:rFonts w:ascii="Times New Roman" w:hAnsi="Times New Roman" w:cs="Times New Roman"/>
          <w:color w:val="000000"/>
          <w:sz w:val="24"/>
          <w:szCs w:val="24"/>
          <w:shd w:val="clear" w:color="auto" w:fill="FFFFFF"/>
        </w:rPr>
        <w:t>e</w:t>
      </w:r>
      <w:r w:rsidRPr="00CD772B">
        <w:rPr>
          <w:rFonts w:ascii="Times New Roman" w:hAnsi="Times New Roman" w:cs="Times New Roman"/>
          <w:color w:val="000000"/>
          <w:sz w:val="24"/>
          <w:szCs w:val="24"/>
          <w:shd w:val="clear" w:color="auto" w:fill="FFFFFF"/>
        </w:rPr>
        <w:t>an Union has</w:t>
      </w:r>
      <w:r w:rsidRPr="00CD772B">
        <w:rPr>
          <w:rStyle w:val="apple-converted-space"/>
          <w:rFonts w:ascii="Times New Roman" w:hAnsi="Times New Roman"/>
          <w:color w:val="000000"/>
          <w:sz w:val="24"/>
          <w:szCs w:val="24"/>
          <w:shd w:val="clear" w:color="auto" w:fill="FFFFFF"/>
        </w:rPr>
        <w:t> </w:t>
      </w:r>
      <w:hyperlink r:id="rId9" w:history="1">
        <w:r w:rsidRPr="00CD772B">
          <w:rPr>
            <w:rStyle w:val="Hyperlink"/>
            <w:rFonts w:ascii="Times New Roman" w:hAnsi="Times New Roman"/>
            <w:color w:val="auto"/>
            <w:sz w:val="24"/>
            <w:szCs w:val="24"/>
            <w:u w:val="none"/>
            <w:bdr w:val="none" w:sz="0" w:space="0" w:color="auto" w:frame="1"/>
            <w:shd w:val="clear" w:color="auto" w:fill="FFFFFF"/>
          </w:rPr>
          <w:t>taken specific action</w:t>
        </w:r>
      </w:hyperlink>
      <w:r w:rsidRPr="00CD772B">
        <w:rPr>
          <w:rStyle w:val="apple-converted-space"/>
          <w:rFonts w:ascii="Times New Roman" w:hAnsi="Times New Roman"/>
          <w:color w:val="000000"/>
          <w:sz w:val="24"/>
          <w:szCs w:val="24"/>
          <w:shd w:val="clear" w:color="auto" w:fill="FFFFFF"/>
        </w:rPr>
        <w:t> </w:t>
      </w:r>
      <w:r w:rsidRPr="00CD772B">
        <w:rPr>
          <w:rFonts w:ascii="Times New Roman" w:hAnsi="Times New Roman" w:cs="Times New Roman"/>
          <w:color w:val="000000"/>
          <w:sz w:val="24"/>
          <w:szCs w:val="24"/>
          <w:shd w:val="clear" w:color="auto" w:fill="FFFFFF"/>
        </w:rPr>
        <w:t>to deal with hate speech in the audiovisual media services. Article 6 of the Directive states the authorities in each member state “must ensure by appropriate means that audiovisual media services provided by media service providers under their jurisdiction do not contain any incitement to hatred based on race, sex, religion or nationality”.</w:t>
      </w:r>
    </w:p>
    <w:p w:rsidR="009962E3" w:rsidRPr="007A0C3F" w:rsidRDefault="009962E3" w:rsidP="007A0C3F">
      <w:pPr>
        <w:tabs>
          <w:tab w:val="num" w:pos="2160"/>
          <w:tab w:val="num" w:pos="2880"/>
        </w:tabs>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In addition, the AVMS Directive </w:t>
      </w:r>
      <w:r w:rsidRPr="00390ABE">
        <w:rPr>
          <w:rStyle w:val="apple-converted-space"/>
          <w:rFonts w:ascii="Times New Roman" w:hAnsi="Times New Roman"/>
        </w:rPr>
        <w:t>stresses</w:t>
      </w:r>
      <w:r w:rsidRPr="00390ABE">
        <w:rPr>
          <w:rFonts w:ascii="Times New Roman" w:hAnsi="Times New Roman" w:cs="Times New Roman"/>
        </w:rPr>
        <w:t xml:space="preserve"> the role of the independent</w:t>
      </w:r>
      <w:r w:rsidRPr="00481EA1">
        <w:rPr>
          <w:rStyle w:val="apple-converted-space"/>
          <w:rFonts w:ascii="Bookman Old Style" w:hAnsi="Bookman Old Style" w:cs="Calibri"/>
        </w:rPr>
        <w:t> </w:t>
      </w:r>
      <w:hyperlink r:id="rId10" w:history="1">
        <w:r w:rsidRPr="007A0C3F">
          <w:rPr>
            <w:rStyle w:val="Hyperlink"/>
            <w:rFonts w:ascii="Times New Roman" w:hAnsi="Times New Roman"/>
            <w:color w:val="auto"/>
            <w:sz w:val="24"/>
            <w:szCs w:val="24"/>
            <w:u w:val="none"/>
          </w:rPr>
          <w:t>regulatory authorities</w:t>
        </w:r>
      </w:hyperlink>
      <w:r w:rsidRPr="007A0C3F">
        <w:rPr>
          <w:rStyle w:val="apple-converted-space"/>
          <w:rFonts w:ascii="Times New Roman" w:hAnsi="Times New Roman"/>
          <w:sz w:val="24"/>
          <w:szCs w:val="24"/>
        </w:rPr>
        <w:t xml:space="preserve"> in the audiovisual field </w:t>
      </w:r>
      <w:r>
        <w:rPr>
          <w:rFonts w:ascii="Times New Roman" w:hAnsi="Times New Roman" w:cs="Times New Roman"/>
          <w:sz w:val="24"/>
          <w:szCs w:val="24"/>
        </w:rPr>
        <w:t xml:space="preserve">in </w:t>
      </w:r>
      <w:r w:rsidRPr="007A0C3F">
        <w:rPr>
          <w:rFonts w:ascii="Times New Roman" w:hAnsi="Times New Roman" w:cs="Times New Roman"/>
          <w:sz w:val="24"/>
          <w:szCs w:val="24"/>
        </w:rPr>
        <w:t>the enforcement of the national legislation transposing the rules of the Directive</w:t>
      </w:r>
      <w:r w:rsidRPr="007A0C3F">
        <w:rPr>
          <w:rStyle w:val="FootnoteReference"/>
          <w:rFonts w:ascii="Times New Roman" w:hAnsi="Times New Roman"/>
          <w:sz w:val="24"/>
          <w:szCs w:val="24"/>
        </w:rPr>
        <w:footnoteReference w:id="1"/>
      </w:r>
      <w:r w:rsidRPr="007A0C3F">
        <w:rPr>
          <w:rFonts w:ascii="Times New Roman" w:hAnsi="Times New Roman" w:cs="Times New Roman"/>
          <w:sz w:val="24"/>
          <w:szCs w:val="24"/>
        </w:rPr>
        <w:t>. Regulators in the field of audiovisual media services are given powers to supervise audiovisual programmes’ compliance with</w:t>
      </w:r>
      <w:r>
        <w:rPr>
          <w:rFonts w:ascii="Times New Roman" w:hAnsi="Times New Roman" w:cs="Times New Roman"/>
          <w:sz w:val="24"/>
          <w:szCs w:val="24"/>
        </w:rPr>
        <w:t xml:space="preserve"> the</w:t>
      </w:r>
      <w:r w:rsidRPr="007A0C3F">
        <w:rPr>
          <w:rFonts w:ascii="Times New Roman" w:hAnsi="Times New Roman" w:cs="Times New Roman"/>
          <w:sz w:val="24"/>
          <w:szCs w:val="24"/>
        </w:rPr>
        <w:t xml:space="preserve"> AVMS Directive. </w:t>
      </w:r>
    </w:p>
    <w:p w:rsidR="009962E3" w:rsidRPr="007A0C3F" w:rsidRDefault="009962E3" w:rsidP="004B3159">
      <w:pPr>
        <w:tabs>
          <w:tab w:val="num" w:pos="2160"/>
          <w:tab w:val="num" w:pos="2880"/>
        </w:tabs>
        <w:jc w:val="both"/>
        <w:rPr>
          <w:rFonts w:ascii="Times New Roman" w:hAnsi="Times New Roman" w:cs="Times New Roman"/>
          <w:sz w:val="24"/>
          <w:szCs w:val="24"/>
          <w:lang w:val="en-US"/>
        </w:rPr>
      </w:pPr>
      <w:r w:rsidRPr="007A0C3F">
        <w:rPr>
          <w:rFonts w:ascii="Times New Roman" w:hAnsi="Times New Roman" w:cs="Times New Roman"/>
          <w:color w:val="000000"/>
          <w:sz w:val="24"/>
          <w:szCs w:val="24"/>
          <w:shd w:val="clear" w:color="auto" w:fill="FFFFFF"/>
        </w:rPr>
        <w:t xml:space="preserve">In December 2013, the </w:t>
      </w:r>
      <w:r w:rsidRPr="007A0C3F">
        <w:rPr>
          <w:rFonts w:ascii="Times New Roman" w:hAnsi="Times New Roman" w:cs="Times New Roman"/>
          <w:sz w:val="24"/>
          <w:szCs w:val="24"/>
          <w:lang w:val="en-US"/>
        </w:rPr>
        <w:t xml:space="preserve">Audiovisual Media Services Directive </w:t>
      </w:r>
      <w:r>
        <w:rPr>
          <w:rFonts w:ascii="Times New Roman" w:hAnsi="Times New Roman" w:cs="Times New Roman"/>
          <w:sz w:val="24"/>
          <w:szCs w:val="24"/>
          <w:lang w:val="en-US"/>
        </w:rPr>
        <w:t>w</w:t>
      </w:r>
      <w:r w:rsidRPr="007A0C3F">
        <w:rPr>
          <w:rFonts w:ascii="Times New Roman" w:hAnsi="Times New Roman" w:cs="Times New Roman"/>
          <w:sz w:val="24"/>
          <w:szCs w:val="24"/>
          <w:lang w:val="en-US"/>
        </w:rPr>
        <w:t xml:space="preserve">as transposed into the new Law on Audio and Audiovisual Media Services of the </w:t>
      </w:r>
      <w:smartTag w:uri="urn:schemas-microsoft-com:office:smarttags" w:element="PlaceType">
        <w:smartTag w:uri="urn:schemas-microsoft-com:office:smarttags" w:element="place">
          <w:r w:rsidRPr="007A0C3F">
            <w:rPr>
              <w:rFonts w:ascii="Times New Roman" w:hAnsi="Times New Roman" w:cs="Times New Roman"/>
              <w:sz w:val="24"/>
              <w:szCs w:val="24"/>
              <w:lang w:val="en-US"/>
            </w:rPr>
            <w:t>Republic</w:t>
          </w:r>
        </w:smartTag>
        <w:r w:rsidRPr="007A0C3F">
          <w:rPr>
            <w:rFonts w:ascii="Times New Roman" w:hAnsi="Times New Roman" w:cs="Times New Roman"/>
            <w:sz w:val="24"/>
            <w:szCs w:val="24"/>
            <w:lang w:val="en-US"/>
          </w:rPr>
          <w:t xml:space="preserve"> of </w:t>
        </w:r>
        <w:smartTag w:uri="urn:schemas-microsoft-com:office:smarttags" w:element="PlaceName">
          <w:r w:rsidRPr="007A0C3F">
            <w:rPr>
              <w:rFonts w:ascii="Times New Roman" w:hAnsi="Times New Roman" w:cs="Times New Roman"/>
              <w:sz w:val="24"/>
              <w:szCs w:val="24"/>
              <w:lang w:val="en-US"/>
            </w:rPr>
            <w:t>Macedonia</w:t>
          </w:r>
        </w:smartTag>
      </w:smartTag>
      <w:r w:rsidRPr="007A0C3F">
        <w:rPr>
          <w:rFonts w:ascii="Times New Roman" w:hAnsi="Times New Roman" w:cs="Times New Roman"/>
          <w:sz w:val="24"/>
          <w:szCs w:val="24"/>
          <w:lang w:val="en-US"/>
        </w:rPr>
        <w:t>.  T</w:t>
      </w:r>
      <w:r w:rsidRPr="007A0C3F">
        <w:rPr>
          <w:rFonts w:ascii="Times New Roman" w:hAnsi="Times New Roman" w:cs="Times New Roman"/>
          <w:sz w:val="24"/>
          <w:szCs w:val="24"/>
        </w:rPr>
        <w:t>he project</w:t>
      </w:r>
      <w:r>
        <w:rPr>
          <w:rFonts w:ascii="Times New Roman" w:hAnsi="Times New Roman" w:cs="Times New Roman"/>
          <w:sz w:val="24"/>
          <w:szCs w:val="24"/>
        </w:rPr>
        <w:t xml:space="preserve"> titled</w:t>
      </w:r>
      <w:r w:rsidRPr="007A0C3F">
        <w:rPr>
          <w:rFonts w:ascii="Times New Roman" w:hAnsi="Times New Roman" w:cs="Times New Roman"/>
          <w:sz w:val="24"/>
          <w:szCs w:val="24"/>
        </w:rPr>
        <w:t xml:space="preserve"> “Enhancing the </w:t>
      </w:r>
      <w:r>
        <w:rPr>
          <w:rFonts w:ascii="Times New Roman" w:hAnsi="Times New Roman" w:cs="Times New Roman"/>
          <w:sz w:val="24"/>
          <w:szCs w:val="24"/>
        </w:rPr>
        <w:t>A</w:t>
      </w:r>
      <w:r w:rsidRPr="007A0C3F">
        <w:rPr>
          <w:rFonts w:ascii="Times New Roman" w:hAnsi="Times New Roman" w:cs="Times New Roman"/>
          <w:sz w:val="24"/>
          <w:szCs w:val="24"/>
        </w:rPr>
        <w:t xml:space="preserve">dministrative </w:t>
      </w:r>
      <w:r>
        <w:rPr>
          <w:rFonts w:ascii="Times New Roman" w:hAnsi="Times New Roman" w:cs="Times New Roman"/>
          <w:sz w:val="24"/>
          <w:szCs w:val="24"/>
        </w:rPr>
        <w:t>C</w:t>
      </w:r>
      <w:r w:rsidRPr="007A0C3F">
        <w:rPr>
          <w:rFonts w:ascii="Times New Roman" w:hAnsi="Times New Roman" w:cs="Times New Roman"/>
          <w:sz w:val="24"/>
          <w:szCs w:val="24"/>
        </w:rPr>
        <w:t xml:space="preserve">apacities of </w:t>
      </w:r>
      <w:r>
        <w:rPr>
          <w:rFonts w:ascii="Times New Roman" w:hAnsi="Times New Roman" w:cs="Times New Roman"/>
          <w:sz w:val="24"/>
          <w:szCs w:val="24"/>
        </w:rPr>
        <w:t>T</w:t>
      </w:r>
      <w:r w:rsidRPr="007A0C3F">
        <w:rPr>
          <w:rFonts w:ascii="Times New Roman" w:hAnsi="Times New Roman" w:cs="Times New Roman"/>
          <w:sz w:val="24"/>
          <w:szCs w:val="24"/>
        </w:rPr>
        <w:t xml:space="preserve">elecom and </w:t>
      </w:r>
      <w:r>
        <w:rPr>
          <w:rFonts w:ascii="Times New Roman" w:hAnsi="Times New Roman" w:cs="Times New Roman"/>
          <w:sz w:val="24"/>
          <w:szCs w:val="24"/>
        </w:rPr>
        <w:t>M</w:t>
      </w:r>
      <w:r w:rsidRPr="007A0C3F">
        <w:rPr>
          <w:rFonts w:ascii="Times New Roman" w:hAnsi="Times New Roman" w:cs="Times New Roman"/>
          <w:sz w:val="24"/>
          <w:szCs w:val="24"/>
        </w:rPr>
        <w:t xml:space="preserve">edia </w:t>
      </w:r>
      <w:r>
        <w:rPr>
          <w:rFonts w:ascii="Times New Roman" w:hAnsi="Times New Roman" w:cs="Times New Roman"/>
          <w:sz w:val="24"/>
          <w:szCs w:val="24"/>
        </w:rPr>
        <w:t>A</w:t>
      </w:r>
      <w:r w:rsidRPr="007A0C3F">
        <w:rPr>
          <w:rFonts w:ascii="Times New Roman" w:hAnsi="Times New Roman" w:cs="Times New Roman"/>
          <w:sz w:val="24"/>
          <w:szCs w:val="24"/>
        </w:rPr>
        <w:t xml:space="preserve">uthorities for </w:t>
      </w:r>
      <w:r>
        <w:rPr>
          <w:rFonts w:ascii="Times New Roman" w:hAnsi="Times New Roman" w:cs="Times New Roman"/>
          <w:sz w:val="24"/>
          <w:szCs w:val="24"/>
        </w:rPr>
        <w:t>E</w:t>
      </w:r>
      <w:r w:rsidRPr="007A0C3F">
        <w:rPr>
          <w:rFonts w:ascii="Times New Roman" w:hAnsi="Times New Roman" w:cs="Times New Roman"/>
          <w:sz w:val="24"/>
          <w:szCs w:val="24"/>
        </w:rPr>
        <w:t xml:space="preserve">fficient </w:t>
      </w:r>
      <w:r>
        <w:rPr>
          <w:rFonts w:ascii="Times New Roman" w:hAnsi="Times New Roman" w:cs="Times New Roman"/>
          <w:sz w:val="24"/>
          <w:szCs w:val="24"/>
        </w:rPr>
        <w:t>R</w:t>
      </w:r>
      <w:r w:rsidRPr="007A0C3F">
        <w:rPr>
          <w:rFonts w:ascii="Times New Roman" w:hAnsi="Times New Roman" w:cs="Times New Roman"/>
          <w:sz w:val="24"/>
          <w:szCs w:val="24"/>
        </w:rPr>
        <w:t xml:space="preserve">egulation of </w:t>
      </w:r>
      <w:r>
        <w:rPr>
          <w:rFonts w:ascii="Times New Roman" w:hAnsi="Times New Roman" w:cs="Times New Roman"/>
          <w:sz w:val="24"/>
          <w:szCs w:val="24"/>
        </w:rPr>
        <w:t>N</w:t>
      </w:r>
      <w:r w:rsidRPr="007A0C3F">
        <w:rPr>
          <w:rFonts w:ascii="Times New Roman" w:hAnsi="Times New Roman" w:cs="Times New Roman"/>
          <w:sz w:val="24"/>
          <w:szCs w:val="24"/>
        </w:rPr>
        <w:t xml:space="preserve">ew </w:t>
      </w:r>
      <w:r>
        <w:rPr>
          <w:rFonts w:ascii="Times New Roman" w:hAnsi="Times New Roman" w:cs="Times New Roman"/>
          <w:sz w:val="24"/>
          <w:szCs w:val="24"/>
        </w:rPr>
        <w:t>D</w:t>
      </w:r>
      <w:r w:rsidRPr="007A0C3F">
        <w:rPr>
          <w:rFonts w:ascii="Times New Roman" w:hAnsi="Times New Roman" w:cs="Times New Roman"/>
          <w:sz w:val="24"/>
          <w:szCs w:val="24"/>
        </w:rPr>
        <w:t xml:space="preserve">igital and </w:t>
      </w:r>
      <w:r>
        <w:rPr>
          <w:rFonts w:ascii="Times New Roman" w:hAnsi="Times New Roman" w:cs="Times New Roman"/>
          <w:sz w:val="24"/>
          <w:szCs w:val="24"/>
        </w:rPr>
        <w:t>M</w:t>
      </w:r>
      <w:r w:rsidRPr="007A0C3F">
        <w:rPr>
          <w:rFonts w:ascii="Times New Roman" w:hAnsi="Times New Roman" w:cs="Times New Roman"/>
          <w:sz w:val="24"/>
          <w:szCs w:val="24"/>
        </w:rPr>
        <w:t xml:space="preserve">ultiple </w:t>
      </w:r>
      <w:r>
        <w:rPr>
          <w:rFonts w:ascii="Times New Roman" w:hAnsi="Times New Roman" w:cs="Times New Roman"/>
          <w:sz w:val="24"/>
          <w:szCs w:val="24"/>
        </w:rPr>
        <w:t>P</w:t>
      </w:r>
      <w:r w:rsidRPr="007A0C3F">
        <w:rPr>
          <w:rFonts w:ascii="Times New Roman" w:hAnsi="Times New Roman" w:cs="Times New Roman"/>
          <w:sz w:val="24"/>
          <w:szCs w:val="24"/>
        </w:rPr>
        <w:t xml:space="preserve">lay </w:t>
      </w:r>
      <w:r>
        <w:rPr>
          <w:rFonts w:ascii="Times New Roman" w:hAnsi="Times New Roman" w:cs="Times New Roman"/>
          <w:sz w:val="24"/>
          <w:szCs w:val="24"/>
        </w:rPr>
        <w:t>S</w:t>
      </w:r>
      <w:r w:rsidRPr="007A0C3F">
        <w:rPr>
          <w:rFonts w:ascii="Times New Roman" w:hAnsi="Times New Roman" w:cs="Times New Roman"/>
          <w:sz w:val="24"/>
          <w:szCs w:val="24"/>
        </w:rPr>
        <w:t>ervices“, funded by the European Commission under the IPA framework</w:t>
      </w:r>
      <w:r>
        <w:rPr>
          <w:rFonts w:ascii="Times New Roman" w:hAnsi="Times New Roman" w:cs="Times New Roman"/>
          <w:sz w:val="24"/>
          <w:szCs w:val="24"/>
        </w:rPr>
        <w:t>,</w:t>
      </w:r>
      <w:r w:rsidRPr="007A0C3F">
        <w:rPr>
          <w:rFonts w:ascii="Times New Roman" w:hAnsi="Times New Roman" w:cs="Times New Roman"/>
          <w:sz w:val="24"/>
          <w:szCs w:val="24"/>
        </w:rPr>
        <w:t xml:space="preserve"> aims </w:t>
      </w:r>
      <w:r>
        <w:rPr>
          <w:rFonts w:ascii="Times New Roman" w:hAnsi="Times New Roman" w:cs="Times New Roman"/>
          <w:sz w:val="24"/>
          <w:szCs w:val="24"/>
        </w:rPr>
        <w:t>at</w:t>
      </w:r>
      <w:r w:rsidRPr="007A0C3F">
        <w:rPr>
          <w:rFonts w:ascii="Times New Roman" w:hAnsi="Times New Roman" w:cs="Times New Roman"/>
          <w:sz w:val="24"/>
          <w:szCs w:val="24"/>
        </w:rPr>
        <w:t xml:space="preserve"> increas</w:t>
      </w:r>
      <w:r>
        <w:rPr>
          <w:rFonts w:ascii="Times New Roman" w:hAnsi="Times New Roman" w:cs="Times New Roman"/>
          <w:sz w:val="24"/>
          <w:szCs w:val="24"/>
        </w:rPr>
        <w:t>ing</w:t>
      </w:r>
      <w:r w:rsidRPr="007A0C3F">
        <w:rPr>
          <w:rFonts w:ascii="Times New Roman" w:hAnsi="Times New Roman" w:cs="Times New Roman"/>
          <w:sz w:val="24"/>
          <w:szCs w:val="24"/>
        </w:rPr>
        <w:t xml:space="preserve"> the capacity of the new regulator - </w:t>
      </w:r>
      <w:r>
        <w:rPr>
          <w:rFonts w:ascii="Times New Roman" w:hAnsi="Times New Roman" w:cs="Times New Roman"/>
          <w:sz w:val="24"/>
          <w:szCs w:val="24"/>
        </w:rPr>
        <w:t xml:space="preserve">the </w:t>
      </w:r>
      <w:r w:rsidRPr="007A0C3F">
        <w:rPr>
          <w:rFonts w:ascii="Times New Roman" w:hAnsi="Times New Roman" w:cs="Times New Roman"/>
          <w:sz w:val="24"/>
          <w:szCs w:val="24"/>
        </w:rPr>
        <w:t>Agency for Audio and Audiovisual Media Services (AAAMS), for implementation of the AVMS Directive. One of the most important activities within th</w:t>
      </w:r>
      <w:r>
        <w:rPr>
          <w:rFonts w:ascii="Times New Roman" w:hAnsi="Times New Roman" w:cs="Times New Roman"/>
          <w:sz w:val="24"/>
          <w:szCs w:val="24"/>
        </w:rPr>
        <w:t>is</w:t>
      </w:r>
      <w:r w:rsidRPr="007A0C3F">
        <w:rPr>
          <w:rFonts w:ascii="Times New Roman" w:hAnsi="Times New Roman" w:cs="Times New Roman"/>
          <w:sz w:val="24"/>
          <w:szCs w:val="24"/>
        </w:rPr>
        <w:t xml:space="preserve"> project is to increase the knowledge and capacity of the AAAMS for </w:t>
      </w:r>
      <w:r>
        <w:rPr>
          <w:rFonts w:ascii="Times New Roman" w:hAnsi="Times New Roman" w:cs="Times New Roman"/>
          <w:sz w:val="24"/>
          <w:szCs w:val="24"/>
        </w:rPr>
        <w:t>dealing with</w:t>
      </w:r>
      <w:r w:rsidRPr="007A0C3F">
        <w:rPr>
          <w:rFonts w:ascii="Times New Roman" w:hAnsi="Times New Roman" w:cs="Times New Roman"/>
          <w:sz w:val="24"/>
          <w:szCs w:val="24"/>
        </w:rPr>
        <w:t xml:space="preserve"> hate speech in both linear and non-linear audiovisual media services. </w:t>
      </w:r>
      <w:r>
        <w:rPr>
          <w:rFonts w:ascii="Times New Roman" w:hAnsi="Times New Roman" w:cs="Times New Roman"/>
          <w:sz w:val="24"/>
          <w:szCs w:val="24"/>
        </w:rPr>
        <w:t xml:space="preserve">In addition to training for the AAAMS staff, the experts engaged within the Project had a task to produce Guidelines for monitoring hate speech in the audiovisual media services. </w:t>
      </w:r>
    </w:p>
    <w:p w:rsidR="009962E3" w:rsidRPr="007A0C3F" w:rsidRDefault="009962E3" w:rsidP="004B3159">
      <w:pPr>
        <w:tabs>
          <w:tab w:val="num" w:pos="2160"/>
          <w:tab w:val="num" w:pos="2880"/>
        </w:tabs>
        <w:jc w:val="both"/>
        <w:rPr>
          <w:rFonts w:ascii="Times New Roman" w:hAnsi="Times New Roman" w:cs="Times New Roman"/>
          <w:sz w:val="24"/>
          <w:szCs w:val="24"/>
          <w:lang w:val="en-US"/>
        </w:rPr>
      </w:pPr>
      <w:r w:rsidRPr="007A0C3F">
        <w:rPr>
          <w:rFonts w:ascii="Times New Roman" w:hAnsi="Times New Roman" w:cs="Times New Roman"/>
          <w:sz w:val="24"/>
          <w:szCs w:val="24"/>
          <w:lang w:val="en-US"/>
        </w:rPr>
        <w:t>There is no universal definition o</w:t>
      </w:r>
      <w:r>
        <w:rPr>
          <w:rFonts w:ascii="Times New Roman" w:hAnsi="Times New Roman" w:cs="Times New Roman"/>
          <w:sz w:val="24"/>
          <w:szCs w:val="24"/>
          <w:lang w:val="en-US"/>
        </w:rPr>
        <w:t>f</w:t>
      </w:r>
      <w:r w:rsidRPr="007A0C3F">
        <w:rPr>
          <w:rFonts w:ascii="Times New Roman" w:hAnsi="Times New Roman" w:cs="Times New Roman"/>
          <w:sz w:val="24"/>
          <w:szCs w:val="24"/>
          <w:lang w:val="en-US"/>
        </w:rPr>
        <w:t xml:space="preserve"> “hate speech”. There are many guidelines and explanations </w:t>
      </w:r>
      <w:r>
        <w:rPr>
          <w:rFonts w:ascii="Times New Roman" w:hAnsi="Times New Roman" w:cs="Times New Roman"/>
          <w:sz w:val="24"/>
          <w:szCs w:val="24"/>
          <w:lang w:val="en-US"/>
        </w:rPr>
        <w:t>as to</w:t>
      </w:r>
      <w:r w:rsidRPr="007A0C3F">
        <w:rPr>
          <w:rFonts w:ascii="Times New Roman" w:hAnsi="Times New Roman" w:cs="Times New Roman"/>
          <w:sz w:val="24"/>
          <w:szCs w:val="24"/>
          <w:lang w:val="en-US"/>
        </w:rPr>
        <w:t xml:space="preserve"> what should be defined as hate speech and what should fall under the protection of freedom of expression. This </w:t>
      </w:r>
      <w:r>
        <w:rPr>
          <w:rFonts w:ascii="Times New Roman" w:hAnsi="Times New Roman" w:cs="Times New Roman"/>
          <w:sz w:val="24"/>
          <w:szCs w:val="24"/>
          <w:lang w:val="en-US"/>
        </w:rPr>
        <w:t>document</w:t>
      </w:r>
      <w:r w:rsidRPr="007A0C3F">
        <w:rPr>
          <w:rFonts w:ascii="Times New Roman" w:hAnsi="Times New Roman" w:cs="Times New Roman"/>
          <w:sz w:val="24"/>
          <w:szCs w:val="24"/>
          <w:lang w:val="en-US"/>
        </w:rPr>
        <w:t xml:space="preserve"> </w:t>
      </w:r>
      <w:r>
        <w:rPr>
          <w:rFonts w:ascii="Times New Roman" w:hAnsi="Times New Roman" w:cs="Times New Roman"/>
          <w:sz w:val="24"/>
          <w:szCs w:val="24"/>
          <w:lang w:val="en-US"/>
        </w:rPr>
        <w:t>first</w:t>
      </w:r>
      <w:r w:rsidRPr="007A0C3F">
        <w:rPr>
          <w:rFonts w:ascii="Times New Roman" w:hAnsi="Times New Roman" w:cs="Times New Roman"/>
          <w:sz w:val="24"/>
          <w:szCs w:val="24"/>
          <w:lang w:val="en-US"/>
        </w:rPr>
        <w:t xml:space="preserve"> present</w:t>
      </w:r>
      <w:r>
        <w:rPr>
          <w:rFonts w:ascii="Times New Roman" w:hAnsi="Times New Roman" w:cs="Times New Roman"/>
          <w:sz w:val="24"/>
          <w:szCs w:val="24"/>
          <w:lang w:val="en-US"/>
        </w:rPr>
        <w:t>s the international standards related to</w:t>
      </w:r>
      <w:r w:rsidRPr="007A0C3F">
        <w:rPr>
          <w:rFonts w:ascii="Times New Roman" w:hAnsi="Times New Roman" w:cs="Times New Roman"/>
          <w:sz w:val="24"/>
          <w:szCs w:val="24"/>
          <w:lang w:val="en-US"/>
        </w:rPr>
        <w:t xml:space="preserve"> freedom of expression and “hate speech”, </w:t>
      </w:r>
      <w:r>
        <w:rPr>
          <w:rFonts w:ascii="Times New Roman" w:hAnsi="Times New Roman" w:cs="Times New Roman"/>
          <w:sz w:val="24"/>
          <w:szCs w:val="24"/>
          <w:lang w:val="en-US"/>
        </w:rPr>
        <w:t xml:space="preserve">the principles and </w:t>
      </w:r>
      <w:r w:rsidRPr="007A0C3F">
        <w:rPr>
          <w:rFonts w:ascii="Times New Roman" w:hAnsi="Times New Roman" w:cs="Times New Roman"/>
          <w:sz w:val="24"/>
          <w:szCs w:val="24"/>
          <w:lang w:val="en-US"/>
        </w:rPr>
        <w:t xml:space="preserve">relevant cases of the </w:t>
      </w:r>
      <w:smartTag w:uri="urn:schemas-microsoft-com:office:smarttags" w:element="address">
        <w:smartTag w:uri="urn:schemas-microsoft-com:office:smarttags" w:element="Street">
          <w:r w:rsidRPr="007A0C3F">
            <w:rPr>
              <w:rFonts w:ascii="Times New Roman" w:hAnsi="Times New Roman" w:cs="Times New Roman"/>
              <w:sz w:val="24"/>
              <w:szCs w:val="24"/>
              <w:lang w:val="en-US"/>
            </w:rPr>
            <w:t>European Court</w:t>
          </w:r>
        </w:smartTag>
      </w:smartTag>
      <w:r w:rsidRPr="007A0C3F">
        <w:rPr>
          <w:rFonts w:ascii="Times New Roman" w:hAnsi="Times New Roman" w:cs="Times New Roman"/>
          <w:sz w:val="24"/>
          <w:szCs w:val="24"/>
          <w:lang w:val="en-US"/>
        </w:rPr>
        <w:t xml:space="preserve"> o</w:t>
      </w:r>
      <w:r>
        <w:rPr>
          <w:rFonts w:ascii="Times New Roman" w:hAnsi="Times New Roman" w:cs="Times New Roman"/>
          <w:sz w:val="24"/>
          <w:szCs w:val="24"/>
          <w:lang w:val="en-US"/>
        </w:rPr>
        <w:t>f</w:t>
      </w:r>
      <w:r w:rsidRPr="007A0C3F">
        <w:rPr>
          <w:rFonts w:ascii="Times New Roman" w:hAnsi="Times New Roman" w:cs="Times New Roman"/>
          <w:sz w:val="24"/>
          <w:szCs w:val="24"/>
          <w:lang w:val="en-US"/>
        </w:rPr>
        <w:t xml:space="preserve"> Human Rights</w:t>
      </w:r>
      <w:r>
        <w:rPr>
          <w:rFonts w:ascii="Times New Roman" w:hAnsi="Times New Roman" w:cs="Times New Roman"/>
          <w:sz w:val="24"/>
          <w:szCs w:val="24"/>
          <w:lang w:val="en-US"/>
        </w:rPr>
        <w:t xml:space="preserve"> and</w:t>
      </w:r>
      <w:r w:rsidRPr="007A0C3F">
        <w:rPr>
          <w:rFonts w:ascii="Times New Roman" w:hAnsi="Times New Roman" w:cs="Times New Roman"/>
          <w:sz w:val="24"/>
          <w:szCs w:val="24"/>
          <w:lang w:val="en-US"/>
        </w:rPr>
        <w:t xml:space="preserve"> the Macedonian legal framework in th</w:t>
      </w:r>
      <w:r>
        <w:rPr>
          <w:rFonts w:ascii="Times New Roman" w:hAnsi="Times New Roman" w:cs="Times New Roman"/>
          <w:sz w:val="24"/>
          <w:szCs w:val="24"/>
          <w:lang w:val="en-US"/>
        </w:rPr>
        <w:t xml:space="preserve">is </w:t>
      </w:r>
      <w:r w:rsidRPr="007A0C3F">
        <w:rPr>
          <w:rFonts w:ascii="Times New Roman" w:hAnsi="Times New Roman" w:cs="Times New Roman"/>
          <w:sz w:val="24"/>
          <w:szCs w:val="24"/>
          <w:lang w:val="en-US"/>
        </w:rPr>
        <w:t xml:space="preserve">respect. At the end, </w:t>
      </w:r>
      <w:r>
        <w:rPr>
          <w:rFonts w:ascii="Times New Roman" w:hAnsi="Times New Roman" w:cs="Times New Roman"/>
          <w:sz w:val="24"/>
          <w:szCs w:val="24"/>
          <w:lang w:val="en-US"/>
        </w:rPr>
        <w:t>it gives</w:t>
      </w:r>
      <w:r w:rsidRPr="007A0C3F">
        <w:rPr>
          <w:rFonts w:ascii="Times New Roman" w:hAnsi="Times New Roman" w:cs="Times New Roman"/>
          <w:sz w:val="24"/>
          <w:szCs w:val="24"/>
          <w:lang w:val="en-US"/>
        </w:rPr>
        <w:t xml:space="preserve"> recommendations </w:t>
      </w:r>
      <w:r>
        <w:rPr>
          <w:rFonts w:ascii="Times New Roman" w:hAnsi="Times New Roman" w:cs="Times New Roman"/>
          <w:sz w:val="24"/>
          <w:szCs w:val="24"/>
          <w:lang w:val="en-US"/>
        </w:rPr>
        <w:t xml:space="preserve">regarding the various aspects that are to be taken into account by the AAAMS when dealing with possible cases of hate speech and conclusions </w:t>
      </w:r>
      <w:r w:rsidRPr="007A0C3F">
        <w:rPr>
          <w:rFonts w:ascii="Times New Roman" w:hAnsi="Times New Roman" w:cs="Times New Roman"/>
          <w:sz w:val="24"/>
          <w:szCs w:val="24"/>
          <w:lang w:val="en-US"/>
        </w:rPr>
        <w:t xml:space="preserve">on what </w:t>
      </w:r>
      <w:r>
        <w:rPr>
          <w:rFonts w:ascii="Times New Roman" w:hAnsi="Times New Roman" w:cs="Times New Roman"/>
          <w:sz w:val="24"/>
          <w:szCs w:val="24"/>
          <w:lang w:val="en-US"/>
        </w:rPr>
        <w:t>sh</w:t>
      </w:r>
      <w:r w:rsidRPr="007A0C3F">
        <w:rPr>
          <w:rFonts w:ascii="Times New Roman" w:hAnsi="Times New Roman" w:cs="Times New Roman"/>
          <w:sz w:val="24"/>
          <w:szCs w:val="24"/>
          <w:lang w:val="en-US"/>
        </w:rPr>
        <w:t xml:space="preserve">ould be </w:t>
      </w:r>
      <w:r>
        <w:rPr>
          <w:rFonts w:ascii="Times New Roman" w:hAnsi="Times New Roman" w:cs="Times New Roman"/>
          <w:sz w:val="24"/>
          <w:szCs w:val="24"/>
          <w:lang w:val="en-US"/>
        </w:rPr>
        <w:t xml:space="preserve">done to further improve the Agency’s capacities and practices. </w:t>
      </w:r>
      <w:r w:rsidRPr="007A0C3F">
        <w:rPr>
          <w:rFonts w:ascii="Times New Roman" w:hAnsi="Times New Roman" w:cs="Times New Roman"/>
          <w:sz w:val="24"/>
          <w:szCs w:val="24"/>
          <w:lang w:val="en-US"/>
        </w:rPr>
        <w:t xml:space="preserve"> </w:t>
      </w:r>
    </w:p>
    <w:p w:rsidR="009962E3" w:rsidRDefault="009962E3" w:rsidP="004B3159">
      <w:pPr>
        <w:tabs>
          <w:tab w:val="num" w:pos="2160"/>
          <w:tab w:val="num" w:pos="2880"/>
        </w:tabs>
        <w:jc w:val="center"/>
        <w:rPr>
          <w:rFonts w:ascii="Times New Roman" w:hAnsi="Times New Roman" w:cs="Times New Roman"/>
          <w:b/>
          <w:sz w:val="24"/>
          <w:szCs w:val="24"/>
          <w:lang w:val="en-US"/>
        </w:rPr>
      </w:pPr>
    </w:p>
    <w:p w:rsidR="009962E3" w:rsidRDefault="009962E3" w:rsidP="004B3159">
      <w:pPr>
        <w:tabs>
          <w:tab w:val="num" w:pos="2160"/>
          <w:tab w:val="num" w:pos="2880"/>
        </w:tabs>
        <w:jc w:val="center"/>
        <w:rPr>
          <w:rFonts w:ascii="Times New Roman" w:hAnsi="Times New Roman" w:cs="Times New Roman"/>
          <w:b/>
          <w:sz w:val="24"/>
          <w:szCs w:val="24"/>
          <w:lang w:val="en-US"/>
        </w:rPr>
      </w:pPr>
    </w:p>
    <w:p w:rsidR="009962E3" w:rsidRDefault="009962E3" w:rsidP="004B3159">
      <w:pPr>
        <w:tabs>
          <w:tab w:val="num" w:pos="2160"/>
          <w:tab w:val="num" w:pos="2880"/>
        </w:tabs>
        <w:jc w:val="center"/>
        <w:rPr>
          <w:rFonts w:ascii="Times New Roman" w:hAnsi="Times New Roman" w:cs="Times New Roman"/>
          <w:b/>
          <w:sz w:val="24"/>
          <w:szCs w:val="24"/>
          <w:lang w:val="en-US"/>
        </w:rPr>
      </w:pPr>
    </w:p>
    <w:p w:rsidR="009962E3" w:rsidRDefault="009962E3" w:rsidP="004B3159">
      <w:pPr>
        <w:tabs>
          <w:tab w:val="num" w:pos="2160"/>
          <w:tab w:val="num" w:pos="2880"/>
        </w:tabs>
        <w:jc w:val="center"/>
        <w:rPr>
          <w:rFonts w:ascii="Times New Roman" w:hAnsi="Times New Roman" w:cs="Times New Roman"/>
          <w:b/>
          <w:sz w:val="24"/>
          <w:szCs w:val="24"/>
          <w:lang w:val="en-US"/>
        </w:rPr>
      </w:pPr>
    </w:p>
    <w:p w:rsidR="009962E3" w:rsidRPr="00DD3AE0" w:rsidRDefault="009962E3" w:rsidP="00957C51">
      <w:pPr>
        <w:pStyle w:val="ListParagraph"/>
        <w:numPr>
          <w:ilvl w:val="0"/>
          <w:numId w:val="33"/>
        </w:numPr>
        <w:tabs>
          <w:tab w:val="num" w:pos="360"/>
        </w:tabs>
        <w:ind w:left="360"/>
        <w:rPr>
          <w:rFonts w:ascii="Times New Roman" w:hAnsi="Times New Roman"/>
          <w:b/>
          <w:sz w:val="28"/>
          <w:szCs w:val="28"/>
        </w:rPr>
      </w:pPr>
      <w:r w:rsidRPr="00DD3AE0">
        <w:rPr>
          <w:rFonts w:ascii="Times New Roman" w:hAnsi="Times New Roman"/>
          <w:b/>
          <w:sz w:val="28"/>
          <w:szCs w:val="28"/>
        </w:rPr>
        <w:t>Freedom of expression</w:t>
      </w:r>
    </w:p>
    <w:p w:rsidR="009962E3" w:rsidRPr="004B3159" w:rsidRDefault="009962E3" w:rsidP="004B3159">
      <w:pPr>
        <w:tabs>
          <w:tab w:val="num" w:pos="2160"/>
          <w:tab w:val="num" w:pos="2880"/>
        </w:tabs>
        <w:jc w:val="both"/>
        <w:rPr>
          <w:rFonts w:ascii="Times New Roman" w:hAnsi="Times New Roman" w:cs="Times New Roman"/>
          <w:sz w:val="24"/>
          <w:szCs w:val="24"/>
          <w:lang w:val="en-US"/>
        </w:rPr>
      </w:pPr>
    </w:p>
    <w:p w:rsidR="009962E3" w:rsidRPr="004B3159" w:rsidRDefault="009962E3" w:rsidP="004B3159">
      <w:pPr>
        <w:jc w:val="both"/>
        <w:rPr>
          <w:rFonts w:ascii="Times New Roman" w:hAnsi="Times New Roman" w:cs="Times New Roman"/>
          <w:bCs/>
          <w:sz w:val="24"/>
          <w:szCs w:val="24"/>
          <w:lang w:val="en-US"/>
        </w:rPr>
      </w:pPr>
      <w:r w:rsidRPr="004B3159">
        <w:rPr>
          <w:rFonts w:ascii="Times New Roman" w:hAnsi="Times New Roman" w:cs="Times New Roman"/>
          <w:sz w:val="24"/>
          <w:szCs w:val="24"/>
          <w:lang w:val="en-US"/>
        </w:rPr>
        <w:t xml:space="preserve">Freedom of expression is one of the basic human rights </w:t>
      </w:r>
      <w:r w:rsidRPr="004B3159">
        <w:rPr>
          <w:rFonts w:ascii="Times New Roman" w:hAnsi="Times New Roman" w:cs="Times New Roman"/>
          <w:bCs/>
          <w:sz w:val="24"/>
          <w:szCs w:val="24"/>
          <w:lang w:val="en-US"/>
        </w:rPr>
        <w:t xml:space="preserve">and </w:t>
      </w:r>
      <w:r>
        <w:rPr>
          <w:rFonts w:ascii="Times New Roman" w:hAnsi="Times New Roman" w:cs="Times New Roman"/>
          <w:bCs/>
          <w:sz w:val="24"/>
          <w:szCs w:val="24"/>
          <w:lang w:val="en-US"/>
        </w:rPr>
        <w:t>the</w:t>
      </w:r>
      <w:r w:rsidRPr="004B3159">
        <w:rPr>
          <w:rFonts w:ascii="Times New Roman" w:hAnsi="Times New Roman" w:cs="Times New Roman"/>
          <w:bCs/>
          <w:sz w:val="24"/>
          <w:szCs w:val="24"/>
          <w:lang w:val="en-US"/>
        </w:rPr>
        <w:t xml:space="preserve"> foundation of modern democratic society. Although protected by </w:t>
      </w:r>
      <w:r>
        <w:rPr>
          <w:rFonts w:ascii="Times New Roman" w:hAnsi="Times New Roman" w:cs="Times New Roman"/>
          <w:bCs/>
          <w:sz w:val="24"/>
          <w:szCs w:val="24"/>
          <w:lang w:val="en-US"/>
        </w:rPr>
        <w:t xml:space="preserve">a considerable number of </w:t>
      </w:r>
      <w:r w:rsidRPr="004B3159">
        <w:rPr>
          <w:rFonts w:ascii="Times New Roman" w:hAnsi="Times New Roman" w:cs="Times New Roman"/>
          <w:bCs/>
          <w:sz w:val="24"/>
          <w:szCs w:val="24"/>
          <w:lang w:val="en-US"/>
        </w:rPr>
        <w:t xml:space="preserve">international documents, countries are given </w:t>
      </w:r>
      <w:r>
        <w:rPr>
          <w:rFonts w:ascii="Times New Roman" w:hAnsi="Times New Roman" w:cs="Times New Roman"/>
          <w:bCs/>
          <w:sz w:val="24"/>
          <w:szCs w:val="24"/>
          <w:lang w:val="en-US"/>
        </w:rPr>
        <w:t xml:space="preserve">the </w:t>
      </w:r>
      <w:r w:rsidRPr="004B3159">
        <w:rPr>
          <w:rFonts w:ascii="Times New Roman" w:hAnsi="Times New Roman" w:cs="Times New Roman"/>
          <w:bCs/>
          <w:sz w:val="24"/>
          <w:szCs w:val="24"/>
          <w:lang w:val="en-US"/>
        </w:rPr>
        <w:t>freedom to define its scope and content within their national legislation</w:t>
      </w:r>
      <w:r>
        <w:rPr>
          <w:rFonts w:ascii="Times New Roman" w:hAnsi="Times New Roman" w:cs="Times New Roman"/>
          <w:bCs/>
          <w:sz w:val="24"/>
          <w:szCs w:val="24"/>
          <w:lang w:val="en-US"/>
        </w:rPr>
        <w:t>s</w:t>
      </w:r>
      <w:r w:rsidRPr="004B3159">
        <w:rPr>
          <w:rFonts w:ascii="Times New Roman" w:hAnsi="Times New Roman" w:cs="Times New Roman"/>
          <w:bCs/>
          <w:sz w:val="24"/>
          <w:szCs w:val="24"/>
          <w:lang w:val="en-US"/>
        </w:rPr>
        <w:t>, depending on their cultural, historic</w:t>
      </w:r>
      <w:r>
        <w:rPr>
          <w:rFonts w:ascii="Times New Roman" w:hAnsi="Times New Roman" w:cs="Times New Roman"/>
          <w:bCs/>
          <w:sz w:val="24"/>
          <w:szCs w:val="24"/>
          <w:lang w:val="en-US"/>
        </w:rPr>
        <w:t>al</w:t>
      </w:r>
      <w:r w:rsidRPr="004B3159">
        <w:rPr>
          <w:rFonts w:ascii="Times New Roman" w:hAnsi="Times New Roman" w:cs="Times New Roman"/>
          <w:bCs/>
          <w:sz w:val="24"/>
          <w:szCs w:val="24"/>
          <w:lang w:val="en-US"/>
        </w:rPr>
        <w:t>, religious, political, and many other differences.</w:t>
      </w:r>
    </w:p>
    <w:p w:rsidR="009962E3" w:rsidRPr="004B3159" w:rsidRDefault="009962E3" w:rsidP="004B3159">
      <w:pPr>
        <w:jc w:val="both"/>
        <w:rPr>
          <w:rFonts w:ascii="Times New Roman" w:hAnsi="Times New Roman" w:cs="Times New Roman"/>
          <w:bCs/>
          <w:sz w:val="24"/>
          <w:szCs w:val="24"/>
          <w:lang w:val="en-US"/>
        </w:rPr>
      </w:pPr>
      <w:r w:rsidRPr="004B3159">
        <w:rPr>
          <w:rFonts w:ascii="Times New Roman" w:hAnsi="Times New Roman" w:cs="Times New Roman"/>
          <w:bCs/>
          <w:sz w:val="24"/>
          <w:szCs w:val="24"/>
          <w:lang w:val="en-US"/>
        </w:rPr>
        <w:t xml:space="preserve">One of the first important international treaties to regulate freedom of </w:t>
      </w:r>
      <w:r>
        <w:rPr>
          <w:rFonts w:ascii="Times New Roman" w:hAnsi="Times New Roman" w:cs="Times New Roman"/>
          <w:bCs/>
          <w:sz w:val="24"/>
          <w:szCs w:val="24"/>
          <w:lang w:val="en-US"/>
        </w:rPr>
        <w:t>e</w:t>
      </w:r>
      <w:r w:rsidRPr="004B3159">
        <w:rPr>
          <w:rFonts w:ascii="Times New Roman" w:hAnsi="Times New Roman" w:cs="Times New Roman"/>
          <w:bCs/>
          <w:sz w:val="24"/>
          <w:szCs w:val="24"/>
          <w:lang w:val="en-US"/>
        </w:rPr>
        <w:t>xpression is surely Article 19 of the Universal Declaration of Human Rights</w:t>
      </w:r>
      <w:r w:rsidRPr="004B3159">
        <w:rPr>
          <w:rFonts w:ascii="Times New Roman" w:hAnsi="Times New Roman" w:cs="Times New Roman"/>
          <w:bCs/>
          <w:sz w:val="24"/>
          <w:vertAlign w:val="superscript"/>
          <w:lang w:val="en-US"/>
        </w:rPr>
        <w:footnoteReference w:id="2"/>
      </w:r>
      <w:r w:rsidRPr="004B3159">
        <w:rPr>
          <w:rFonts w:ascii="Times New Roman" w:hAnsi="Times New Roman" w:cs="Times New Roman"/>
          <w:bCs/>
          <w:sz w:val="24"/>
          <w:szCs w:val="24"/>
          <w:lang w:val="en-US"/>
        </w:rPr>
        <w:t xml:space="preserve"> that s</w:t>
      </w:r>
      <w:r>
        <w:rPr>
          <w:rFonts w:ascii="Times New Roman" w:hAnsi="Times New Roman" w:cs="Times New Roman"/>
          <w:bCs/>
          <w:sz w:val="24"/>
          <w:szCs w:val="24"/>
          <w:lang w:val="en-US"/>
        </w:rPr>
        <w:t>tate</w:t>
      </w:r>
      <w:r w:rsidRPr="004B3159">
        <w:rPr>
          <w:rFonts w:ascii="Times New Roman" w:hAnsi="Times New Roman" w:cs="Times New Roman"/>
          <w:bCs/>
          <w:sz w:val="24"/>
          <w:szCs w:val="24"/>
          <w:lang w:val="en-US"/>
        </w:rPr>
        <w:t>s:</w:t>
      </w:r>
    </w:p>
    <w:p w:rsidR="009962E3" w:rsidRPr="004B3159" w:rsidRDefault="009962E3" w:rsidP="004B3159">
      <w:pPr>
        <w:autoSpaceDE w:val="0"/>
        <w:autoSpaceDN w:val="0"/>
        <w:adjustRightInd w:val="0"/>
        <w:ind w:left="360"/>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w:t>
      </w:r>
      <w:r w:rsidRPr="004B3159">
        <w:rPr>
          <w:rFonts w:ascii="Times New Roman" w:hAnsi="Times New Roman" w:cs="Times New Roman"/>
          <w:color w:val="300906"/>
          <w:sz w:val="24"/>
          <w:szCs w:val="24"/>
          <w:lang w:val="en-US"/>
        </w:rPr>
        <w:t xml:space="preserve"> </w:t>
      </w:r>
      <w:r w:rsidRPr="004B3159">
        <w:rPr>
          <w:rFonts w:ascii="Times New Roman" w:hAnsi="Times New Roman" w:cs="Times New Roman"/>
          <w:i/>
          <w:sz w:val="24"/>
          <w:szCs w:val="24"/>
          <w:lang w:val="en-US"/>
        </w:rPr>
        <w:t>Everyone has the right to freedom of opinion and expression; this right includes freedom to hold opinions without interference and to seek, receive and impart information and ideas through any media and regardless of frontiers</w:t>
      </w:r>
      <w:r w:rsidRPr="004B3159">
        <w:rPr>
          <w:rFonts w:ascii="Times New Roman" w:hAnsi="Times New Roman" w:cs="Times New Roman"/>
          <w:sz w:val="24"/>
          <w:szCs w:val="24"/>
          <w:lang w:val="en-US"/>
        </w:rPr>
        <w:t>.“</w:t>
      </w:r>
    </w:p>
    <w:p w:rsidR="009962E3" w:rsidRPr="004B3159" w:rsidRDefault="009962E3" w:rsidP="004B3159">
      <w:pPr>
        <w:jc w:val="both"/>
        <w:rPr>
          <w:rFonts w:ascii="Times New Roman" w:hAnsi="Times New Roman" w:cs="Times New Roman"/>
          <w:bCs/>
          <w:sz w:val="24"/>
          <w:szCs w:val="24"/>
          <w:lang w:val="en-US"/>
        </w:rPr>
      </w:pPr>
      <w:r w:rsidRPr="004B3159">
        <w:rPr>
          <w:rFonts w:ascii="Times New Roman" w:hAnsi="Times New Roman" w:cs="Times New Roman"/>
          <w:bCs/>
          <w:sz w:val="24"/>
          <w:szCs w:val="24"/>
          <w:lang w:val="en-US"/>
        </w:rPr>
        <w:t>Further on, Article 10 of the European Convention o</w:t>
      </w:r>
      <w:r>
        <w:rPr>
          <w:rFonts w:ascii="Times New Roman" w:hAnsi="Times New Roman" w:cs="Times New Roman"/>
          <w:bCs/>
          <w:sz w:val="24"/>
          <w:szCs w:val="24"/>
          <w:lang w:val="en-US"/>
        </w:rPr>
        <w:t>n</w:t>
      </w:r>
      <w:r w:rsidRPr="004B3159">
        <w:rPr>
          <w:rFonts w:ascii="Times New Roman" w:hAnsi="Times New Roman" w:cs="Times New Roman"/>
          <w:bCs/>
          <w:sz w:val="24"/>
          <w:szCs w:val="24"/>
          <w:lang w:val="en-US"/>
        </w:rPr>
        <w:t xml:space="preserve"> Human Rights</w:t>
      </w:r>
      <w:r w:rsidRPr="004B3159">
        <w:rPr>
          <w:rFonts w:ascii="Times New Roman" w:hAnsi="Times New Roman" w:cs="Times New Roman"/>
          <w:bCs/>
          <w:sz w:val="24"/>
          <w:vertAlign w:val="superscript"/>
          <w:lang w:val="en-US"/>
        </w:rPr>
        <w:footnoteReference w:id="3"/>
      </w:r>
      <w:r w:rsidRPr="004B3159">
        <w:rPr>
          <w:rFonts w:ascii="Times New Roman" w:hAnsi="Times New Roman" w:cs="Times New Roman"/>
          <w:bCs/>
          <w:sz w:val="24"/>
          <w:szCs w:val="24"/>
          <w:lang w:val="en-US"/>
        </w:rPr>
        <w:t xml:space="preserve"> reads: </w:t>
      </w:r>
    </w:p>
    <w:p w:rsidR="009962E3" w:rsidRPr="004B3159" w:rsidRDefault="009962E3" w:rsidP="004B3159">
      <w:pPr>
        <w:ind w:left="720"/>
        <w:jc w:val="both"/>
        <w:rPr>
          <w:rFonts w:ascii="Times New Roman" w:hAnsi="Times New Roman" w:cs="Times New Roman"/>
          <w:bCs/>
          <w:i/>
          <w:sz w:val="24"/>
          <w:szCs w:val="24"/>
          <w:lang w:val="en-US"/>
        </w:rPr>
      </w:pPr>
      <w:r w:rsidRPr="004B3159">
        <w:rPr>
          <w:rFonts w:ascii="Times New Roman" w:hAnsi="Times New Roman" w:cs="Times New Roman"/>
          <w:bCs/>
          <w:sz w:val="24"/>
          <w:szCs w:val="24"/>
          <w:lang w:val="en-US"/>
        </w:rPr>
        <w:t>“</w:t>
      </w:r>
      <w:r w:rsidRPr="004B3159">
        <w:rPr>
          <w:rFonts w:ascii="Times New Roman" w:hAnsi="Times New Roman" w:cs="Times New Roman"/>
          <w:i/>
          <w:sz w:val="24"/>
          <w:szCs w:val="24"/>
          <w:lang w:val="en-US"/>
        </w:rPr>
        <w:t>Everyone</w:t>
      </w:r>
      <w:r w:rsidRPr="004B3159">
        <w:rPr>
          <w:rFonts w:ascii="Times New Roman" w:hAnsi="Times New Roman" w:cs="Times New Roman"/>
          <w:bCs/>
          <w:i/>
          <w:sz w:val="24"/>
          <w:szCs w:val="24"/>
          <w:lang w:val="en-US"/>
        </w:rPr>
        <w:t xml:space="preserv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009962E3" w:rsidRPr="004B3159" w:rsidRDefault="009962E3" w:rsidP="004B3159">
      <w:pPr>
        <w:ind w:left="720"/>
        <w:jc w:val="both"/>
        <w:rPr>
          <w:rFonts w:ascii="Times New Roman" w:hAnsi="Times New Roman" w:cs="Times New Roman"/>
          <w:bCs/>
          <w:sz w:val="24"/>
          <w:szCs w:val="24"/>
          <w:lang w:val="en-US"/>
        </w:rPr>
      </w:pPr>
      <w:r>
        <w:rPr>
          <w:rFonts w:ascii="Times New Roman" w:hAnsi="Times New Roman" w:cs="Times New Roman"/>
          <w:bCs/>
          <w:i/>
          <w:sz w:val="24"/>
          <w:szCs w:val="24"/>
          <w:lang w:val="en-US"/>
        </w:rPr>
        <w:t>“</w:t>
      </w:r>
      <w:r w:rsidRPr="004B3159">
        <w:rPr>
          <w:rFonts w:ascii="Times New Roman" w:hAnsi="Times New Roman" w:cs="Times New Roman"/>
          <w:bCs/>
          <w:i/>
          <w:sz w:val="24"/>
          <w:szCs w:val="24"/>
          <w:lang w:val="en-US"/>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the rights of others, for preventing the disclosure of information received in confidence, or for maintaining the authority and impartiality of the judiciary</w:t>
      </w:r>
      <w:r w:rsidRPr="004B3159">
        <w:rPr>
          <w:rFonts w:ascii="Times New Roman" w:hAnsi="Times New Roman" w:cs="Times New Roman"/>
          <w:bCs/>
          <w:sz w:val="24"/>
          <w:szCs w:val="24"/>
          <w:lang w:val="en-US"/>
        </w:rPr>
        <w:t xml:space="preserve">”. </w:t>
      </w:r>
    </w:p>
    <w:p w:rsidR="009962E3" w:rsidRPr="004B3159" w:rsidRDefault="009962E3" w:rsidP="004B3159">
      <w:pPr>
        <w:jc w:val="both"/>
        <w:rPr>
          <w:rFonts w:ascii="Times New Roman" w:hAnsi="Times New Roman" w:cs="Times New Roman"/>
          <w:bCs/>
          <w:sz w:val="24"/>
          <w:szCs w:val="24"/>
          <w:lang w:val="en-US"/>
        </w:rPr>
      </w:pPr>
      <w:r w:rsidRPr="004B3159">
        <w:rPr>
          <w:rFonts w:ascii="Times New Roman" w:hAnsi="Times New Roman" w:cs="Times New Roman"/>
          <w:bCs/>
          <w:sz w:val="24"/>
          <w:szCs w:val="24"/>
          <w:lang w:val="en-US"/>
        </w:rPr>
        <w:t xml:space="preserve">Although both of these treaties date from the middle of last century, they are still applicable. </w:t>
      </w:r>
    </w:p>
    <w:p w:rsidR="009962E3" w:rsidRPr="004B3159" w:rsidRDefault="009962E3" w:rsidP="004B3159">
      <w:pPr>
        <w:jc w:val="both"/>
        <w:rPr>
          <w:rFonts w:ascii="Times New Roman" w:hAnsi="Times New Roman" w:cs="Times New Roman"/>
          <w:bCs/>
          <w:sz w:val="24"/>
          <w:szCs w:val="24"/>
          <w:lang w:val="en-US"/>
        </w:rPr>
      </w:pPr>
    </w:p>
    <w:p w:rsidR="009962E3" w:rsidRPr="004B3159" w:rsidRDefault="009962E3" w:rsidP="004B3159">
      <w:pPr>
        <w:jc w:val="both"/>
        <w:rPr>
          <w:rFonts w:ascii="Times New Roman" w:hAnsi="Times New Roman" w:cs="Times New Roman"/>
          <w:bCs/>
          <w:sz w:val="24"/>
          <w:szCs w:val="24"/>
          <w:lang w:val="en-US"/>
        </w:rPr>
      </w:pPr>
    </w:p>
    <w:p w:rsidR="009962E3" w:rsidRPr="004B3159" w:rsidRDefault="009962E3" w:rsidP="004B3159">
      <w:pPr>
        <w:jc w:val="both"/>
        <w:rPr>
          <w:rFonts w:ascii="Times New Roman" w:hAnsi="Times New Roman" w:cs="Times New Roman"/>
          <w:bCs/>
          <w:sz w:val="24"/>
          <w:szCs w:val="24"/>
          <w:lang w:val="en-US"/>
        </w:rPr>
      </w:pPr>
    </w:p>
    <w:p w:rsidR="009962E3" w:rsidRDefault="009962E3" w:rsidP="00895548">
      <w:pPr>
        <w:rPr>
          <w:rFonts w:ascii="Times New Roman" w:hAnsi="Times New Roman" w:cs="Times New Roman"/>
          <w:b/>
          <w:bCs/>
          <w:sz w:val="24"/>
          <w:szCs w:val="24"/>
          <w:lang w:val="en-US"/>
        </w:rPr>
      </w:pPr>
    </w:p>
    <w:p w:rsidR="009962E3" w:rsidRDefault="009962E3" w:rsidP="00895548">
      <w:pPr>
        <w:rPr>
          <w:rFonts w:ascii="Times New Roman" w:hAnsi="Times New Roman" w:cs="Times New Roman"/>
          <w:b/>
          <w:bCs/>
          <w:sz w:val="24"/>
          <w:szCs w:val="24"/>
          <w:lang w:val="en-US"/>
        </w:rPr>
      </w:pPr>
    </w:p>
    <w:p w:rsidR="009962E3" w:rsidRPr="00967A83" w:rsidRDefault="009962E3" w:rsidP="00957C51">
      <w:pPr>
        <w:pStyle w:val="ListParagraph"/>
        <w:numPr>
          <w:ilvl w:val="0"/>
          <w:numId w:val="33"/>
        </w:numPr>
        <w:ind w:left="360"/>
        <w:rPr>
          <w:rFonts w:ascii="Times New Roman" w:hAnsi="Times New Roman"/>
          <w:b/>
          <w:bCs/>
          <w:sz w:val="28"/>
          <w:szCs w:val="28"/>
        </w:rPr>
      </w:pPr>
      <w:r w:rsidRPr="00967A83">
        <w:rPr>
          <w:rFonts w:ascii="Times New Roman" w:hAnsi="Times New Roman"/>
          <w:b/>
          <w:bCs/>
          <w:sz w:val="28"/>
          <w:szCs w:val="28"/>
        </w:rPr>
        <w:t xml:space="preserve">The European regulatory framework </w:t>
      </w:r>
      <w:r>
        <w:rPr>
          <w:rFonts w:ascii="Times New Roman" w:hAnsi="Times New Roman"/>
          <w:b/>
          <w:bCs/>
          <w:sz w:val="28"/>
          <w:szCs w:val="28"/>
        </w:rPr>
        <w:t xml:space="preserve"> </w:t>
      </w:r>
      <w:r w:rsidRPr="00967A83">
        <w:rPr>
          <w:rFonts w:ascii="Times New Roman" w:hAnsi="Times New Roman"/>
          <w:b/>
          <w:bCs/>
          <w:sz w:val="28"/>
          <w:szCs w:val="28"/>
        </w:rPr>
        <w:t>o</w:t>
      </w:r>
      <w:r>
        <w:rPr>
          <w:rFonts w:ascii="Times New Roman" w:hAnsi="Times New Roman"/>
          <w:b/>
          <w:bCs/>
          <w:sz w:val="28"/>
          <w:szCs w:val="28"/>
        </w:rPr>
        <w:t>n</w:t>
      </w:r>
      <w:r w:rsidRPr="00967A83">
        <w:rPr>
          <w:rFonts w:ascii="Times New Roman" w:hAnsi="Times New Roman"/>
          <w:b/>
          <w:bCs/>
          <w:sz w:val="28"/>
          <w:szCs w:val="28"/>
        </w:rPr>
        <w:t xml:space="preserve"> “</w:t>
      </w:r>
      <w:r>
        <w:rPr>
          <w:rFonts w:ascii="Times New Roman" w:hAnsi="Times New Roman"/>
          <w:b/>
          <w:bCs/>
          <w:sz w:val="28"/>
          <w:szCs w:val="28"/>
        </w:rPr>
        <w:t>hate speech</w:t>
      </w:r>
      <w:r w:rsidRPr="00967A83">
        <w:rPr>
          <w:rFonts w:ascii="Times New Roman" w:hAnsi="Times New Roman"/>
          <w:b/>
          <w:bCs/>
          <w:sz w:val="28"/>
          <w:szCs w:val="28"/>
        </w:rPr>
        <w:t>”</w:t>
      </w:r>
    </w:p>
    <w:p w:rsidR="009962E3" w:rsidRDefault="009962E3" w:rsidP="004B3159">
      <w:pPr>
        <w:spacing w:before="100" w:beforeAutospacing="1" w:after="100" w:afterAutospacing="1"/>
        <w:jc w:val="both"/>
        <w:rPr>
          <w:rFonts w:ascii="Times New Roman" w:hAnsi="Times New Roman" w:cs="Times New Roman"/>
          <w:sz w:val="24"/>
          <w:szCs w:val="24"/>
          <w:lang w:val="en-US"/>
        </w:rPr>
      </w:pP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As said before, there is no universal definition of “hate speech”. The meaning of the term has a long history o</w:t>
      </w:r>
      <w:r>
        <w:rPr>
          <w:rFonts w:ascii="Times New Roman" w:hAnsi="Times New Roman" w:cs="Times New Roman"/>
          <w:sz w:val="24"/>
          <w:szCs w:val="24"/>
          <w:lang w:val="en-US"/>
        </w:rPr>
        <w:t>f</w:t>
      </w:r>
      <w:r w:rsidRPr="004B3159">
        <w:rPr>
          <w:rFonts w:ascii="Times New Roman" w:hAnsi="Times New Roman" w:cs="Times New Roman"/>
          <w:sz w:val="24"/>
          <w:szCs w:val="24"/>
          <w:lang w:val="en-US"/>
        </w:rPr>
        <w:t xml:space="preserve"> jurisprudence in various Council of Europe and European Union Member States, </w:t>
      </w:r>
      <w:r>
        <w:rPr>
          <w:rFonts w:ascii="Times New Roman" w:hAnsi="Times New Roman" w:cs="Times New Roman"/>
          <w:sz w:val="24"/>
          <w:szCs w:val="24"/>
          <w:lang w:val="en-US"/>
        </w:rPr>
        <w:t>along</w:t>
      </w:r>
      <w:r w:rsidRPr="004B3159">
        <w:rPr>
          <w:rFonts w:ascii="Times New Roman" w:hAnsi="Times New Roman" w:cs="Times New Roman"/>
          <w:sz w:val="24"/>
          <w:szCs w:val="24"/>
          <w:lang w:val="en-US"/>
        </w:rPr>
        <w:t xml:space="preserve"> with the case law of the </w:t>
      </w:r>
      <w:smartTag w:uri="urn:schemas-microsoft-com:office:smarttags" w:element="address">
        <w:smartTag w:uri="urn:schemas-microsoft-com:office:smarttags" w:element="Street">
          <w:r w:rsidRPr="004B3159">
            <w:rPr>
              <w:rFonts w:ascii="Times New Roman" w:hAnsi="Times New Roman" w:cs="Times New Roman"/>
              <w:sz w:val="24"/>
              <w:szCs w:val="24"/>
              <w:lang w:val="en-US"/>
            </w:rPr>
            <w:t>European Court</w:t>
          </w:r>
        </w:smartTag>
      </w:smartTag>
      <w:r w:rsidRPr="004B3159">
        <w:rPr>
          <w:rFonts w:ascii="Times New Roman" w:hAnsi="Times New Roman" w:cs="Times New Roman"/>
          <w:sz w:val="24"/>
          <w:szCs w:val="24"/>
          <w:lang w:val="en-US"/>
        </w:rPr>
        <w:t xml:space="preserve"> on Human Rights (</w:t>
      </w:r>
      <w:r>
        <w:rPr>
          <w:rFonts w:ascii="Times New Roman" w:hAnsi="Times New Roman" w:cs="Times New Roman"/>
          <w:sz w:val="24"/>
          <w:szCs w:val="24"/>
          <w:lang w:val="en-US"/>
        </w:rPr>
        <w:t>hereinafter referred to as</w:t>
      </w:r>
      <w:r w:rsidRPr="004B31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4B3159">
        <w:rPr>
          <w:rFonts w:ascii="Times New Roman" w:hAnsi="Times New Roman" w:cs="Times New Roman"/>
          <w:sz w:val="24"/>
          <w:szCs w:val="24"/>
          <w:lang w:val="en-US"/>
        </w:rPr>
        <w:t xml:space="preserve">Court”). </w:t>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The Council of Europe has developed various definitions of “hate speech” depending on the context. In this chapter, some of the most important </w:t>
      </w:r>
      <w:r>
        <w:rPr>
          <w:rFonts w:ascii="Times New Roman" w:hAnsi="Times New Roman" w:cs="Times New Roman"/>
          <w:sz w:val="24"/>
          <w:szCs w:val="24"/>
          <w:lang w:val="en-US"/>
        </w:rPr>
        <w:t xml:space="preserve">ones </w:t>
      </w:r>
      <w:r w:rsidRPr="004B3159">
        <w:rPr>
          <w:rFonts w:ascii="Times New Roman" w:hAnsi="Times New Roman" w:cs="Times New Roman"/>
          <w:sz w:val="24"/>
          <w:szCs w:val="24"/>
          <w:lang w:val="en-US"/>
        </w:rPr>
        <w:t>will be presented.</w:t>
      </w:r>
    </w:p>
    <w:p w:rsidR="009962E3" w:rsidRPr="00445A5A" w:rsidRDefault="009962E3" w:rsidP="00445A5A">
      <w:pPr>
        <w:pStyle w:val="ListParagraph"/>
        <w:numPr>
          <w:ilvl w:val="1"/>
          <w:numId w:val="33"/>
        </w:numPr>
        <w:spacing w:before="100" w:beforeAutospacing="1" w:after="100" w:afterAutospacing="1"/>
        <w:jc w:val="both"/>
        <w:rPr>
          <w:rFonts w:ascii="Times New Roman" w:hAnsi="Times New Roman"/>
          <w:sz w:val="24"/>
          <w:szCs w:val="24"/>
        </w:rPr>
      </w:pPr>
      <w:r w:rsidRPr="00445A5A">
        <w:rPr>
          <w:rFonts w:ascii="Times New Roman" w:hAnsi="Times New Roman"/>
          <w:b/>
          <w:sz w:val="24"/>
          <w:szCs w:val="24"/>
        </w:rPr>
        <w:t>Recommendation No. R (97) 20 on “hate speech</w:t>
      </w:r>
      <w:r w:rsidRPr="00445A5A">
        <w:rPr>
          <w:rFonts w:ascii="Times New Roman" w:hAnsi="Times New Roman"/>
          <w:sz w:val="24"/>
          <w:szCs w:val="24"/>
        </w:rPr>
        <w:t>”</w:t>
      </w:r>
      <w:r w:rsidRPr="004B3159">
        <w:rPr>
          <w:vertAlign w:val="superscript"/>
        </w:rPr>
        <w:footnoteReference w:id="4"/>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The Recommendation on hate speech recommends that the member states</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government</w:t>
      </w:r>
      <w:r>
        <w:rPr>
          <w:rFonts w:ascii="Times New Roman" w:hAnsi="Times New Roman" w:cs="Times New Roman"/>
          <w:sz w:val="24"/>
          <w:szCs w:val="24"/>
          <w:lang w:val="en-US"/>
        </w:rPr>
        <w:t>s</w:t>
      </w:r>
      <w:r w:rsidRPr="004B3159">
        <w:rPr>
          <w:rFonts w:ascii="Times New Roman" w:hAnsi="Times New Roman" w:cs="Times New Roman"/>
          <w:sz w:val="24"/>
          <w:szCs w:val="24"/>
          <w:lang w:val="en-US"/>
        </w:rPr>
        <w:t xml:space="preserve">  take the steps </w:t>
      </w:r>
      <w:r>
        <w:rPr>
          <w:rFonts w:ascii="Times New Roman" w:hAnsi="Times New Roman" w:cs="Times New Roman"/>
          <w:sz w:val="24"/>
          <w:szCs w:val="24"/>
          <w:lang w:val="en-US"/>
        </w:rPr>
        <w:t xml:space="preserve">for </w:t>
      </w:r>
      <w:r w:rsidRPr="004B3159">
        <w:rPr>
          <w:rFonts w:ascii="Times New Roman" w:hAnsi="Times New Roman" w:cs="Times New Roman"/>
          <w:sz w:val="24"/>
          <w:szCs w:val="24"/>
          <w:lang w:val="en-US"/>
        </w:rPr>
        <w:t>fight</w:t>
      </w:r>
      <w:r>
        <w:rPr>
          <w:rFonts w:ascii="Times New Roman" w:hAnsi="Times New Roman" w:cs="Times New Roman"/>
          <w:sz w:val="24"/>
          <w:szCs w:val="24"/>
          <w:lang w:val="en-US"/>
        </w:rPr>
        <w:t>ing</w:t>
      </w:r>
      <w:r w:rsidRPr="004B3159">
        <w:rPr>
          <w:rFonts w:ascii="Times New Roman" w:hAnsi="Times New Roman" w:cs="Times New Roman"/>
          <w:sz w:val="24"/>
          <w:szCs w:val="24"/>
          <w:lang w:val="en-US"/>
        </w:rPr>
        <w:t xml:space="preserve"> hate speech laid down in the document</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4B3159">
        <w:rPr>
          <w:rFonts w:ascii="Times New Roman" w:hAnsi="Times New Roman" w:cs="Times New Roman"/>
          <w:sz w:val="24"/>
          <w:szCs w:val="24"/>
          <w:lang w:val="en-US"/>
        </w:rPr>
        <w:t xml:space="preserve"> refers </w:t>
      </w:r>
      <w:r>
        <w:rPr>
          <w:rFonts w:ascii="Times New Roman" w:hAnsi="Times New Roman" w:cs="Times New Roman"/>
          <w:sz w:val="24"/>
          <w:szCs w:val="24"/>
          <w:lang w:val="en-US"/>
        </w:rPr>
        <w:t xml:space="preserve">particularly </w:t>
      </w:r>
      <w:r w:rsidRPr="004B3159">
        <w:rPr>
          <w:rFonts w:ascii="Times New Roman" w:hAnsi="Times New Roman" w:cs="Times New Roman"/>
          <w:sz w:val="24"/>
          <w:szCs w:val="24"/>
          <w:lang w:val="en-US"/>
        </w:rPr>
        <w:t xml:space="preserve">to hate speech disseminated through the media. </w:t>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The </w:t>
      </w:r>
      <w:r>
        <w:rPr>
          <w:rFonts w:ascii="Times New Roman" w:hAnsi="Times New Roman" w:cs="Times New Roman"/>
          <w:sz w:val="24"/>
          <w:szCs w:val="24"/>
          <w:lang w:val="en-US"/>
        </w:rPr>
        <w:t>R</w:t>
      </w:r>
      <w:r w:rsidRPr="004B3159">
        <w:rPr>
          <w:rFonts w:ascii="Times New Roman" w:hAnsi="Times New Roman" w:cs="Times New Roman"/>
          <w:sz w:val="24"/>
          <w:szCs w:val="24"/>
          <w:lang w:val="en-US"/>
        </w:rPr>
        <w:t>ecommendation tries to define the term “hate speech” in the following manner:</w:t>
      </w:r>
    </w:p>
    <w:p w:rsidR="009962E3" w:rsidRPr="004B3159" w:rsidRDefault="009962E3" w:rsidP="004B3159">
      <w:pPr>
        <w:spacing w:before="100" w:beforeAutospacing="1" w:after="100" w:afterAutospacing="1"/>
        <w:ind w:left="720"/>
        <w:jc w:val="both"/>
        <w:rPr>
          <w:rFonts w:ascii="Times New Roman" w:hAnsi="Times New Roman" w:cs="Times New Roman"/>
          <w:sz w:val="24"/>
          <w:szCs w:val="24"/>
          <w:lang w:val="en-US"/>
        </w:rPr>
      </w:pPr>
      <w:r w:rsidRPr="004B3159">
        <w:rPr>
          <w:rFonts w:ascii="Times New Roman" w:hAnsi="Times New Roman" w:cs="Times New Roman"/>
          <w:bCs/>
          <w:i/>
          <w:sz w:val="24"/>
          <w:szCs w:val="24"/>
          <w:lang w:val="en-US"/>
        </w:rPr>
        <w:t>T</w:t>
      </w:r>
      <w:r w:rsidRPr="004B3159">
        <w:rPr>
          <w:rFonts w:ascii="Times New Roman" w:hAnsi="Times New Roman" w:cs="Times New Roman"/>
          <w:i/>
          <w:sz w:val="24"/>
          <w:szCs w:val="24"/>
          <w:lang w:val="en-US"/>
        </w:rPr>
        <w:t>he term "hate speech" shall be understood as covering all forms of expression which spread, incite, promote or justify racial hatred, xenophobia, anti-Semitism or other forms of hatred based on intolerance, including: intolerance expressed by aggressive nationalism and ethnocentrism, discrimination and hostility against minorities, migrants and people of immigrant origin</w:t>
      </w:r>
      <w:r w:rsidRPr="004B3159">
        <w:rPr>
          <w:rFonts w:ascii="Times New Roman" w:hAnsi="Times New Roman" w:cs="Times New Roman"/>
          <w:sz w:val="24"/>
          <w:szCs w:val="24"/>
          <w:lang w:val="en-US"/>
        </w:rPr>
        <w:t xml:space="preserve">. </w:t>
      </w:r>
    </w:p>
    <w:p w:rsidR="009962E3" w:rsidRPr="004B3159" w:rsidRDefault="009962E3" w:rsidP="004B3159">
      <w:pPr>
        <w:spacing w:before="100" w:beforeAutospacing="1" w:after="100" w:afterAutospacing="1"/>
        <w:jc w:val="both"/>
        <w:rPr>
          <w:rFonts w:ascii="Times New Roman" w:hAnsi="Times New Roman" w:cs="Times New Roman"/>
          <w:bCs/>
          <w:sz w:val="24"/>
          <w:szCs w:val="24"/>
          <w:lang w:val="en-US"/>
        </w:rPr>
      </w:pPr>
      <w:r w:rsidRPr="004B3159">
        <w:rPr>
          <w:rFonts w:ascii="Times New Roman" w:hAnsi="Times New Roman" w:cs="Times New Roman"/>
          <w:bCs/>
          <w:sz w:val="24"/>
          <w:szCs w:val="24"/>
          <w:lang w:val="en-US"/>
        </w:rPr>
        <w:t xml:space="preserve">Further on, the </w:t>
      </w:r>
      <w:r>
        <w:rPr>
          <w:rFonts w:ascii="Times New Roman" w:hAnsi="Times New Roman" w:cs="Times New Roman"/>
          <w:bCs/>
          <w:sz w:val="24"/>
          <w:szCs w:val="24"/>
          <w:lang w:val="en-US"/>
        </w:rPr>
        <w:t>R</w:t>
      </w:r>
      <w:r w:rsidRPr="004B3159">
        <w:rPr>
          <w:rFonts w:ascii="Times New Roman" w:hAnsi="Times New Roman" w:cs="Times New Roman"/>
          <w:bCs/>
          <w:sz w:val="24"/>
          <w:szCs w:val="24"/>
          <w:lang w:val="en-US"/>
        </w:rPr>
        <w:t>ecommendation in particular calls</w:t>
      </w:r>
      <w:r>
        <w:rPr>
          <w:rFonts w:ascii="Times New Roman" w:hAnsi="Times New Roman" w:cs="Times New Roman"/>
          <w:bCs/>
          <w:sz w:val="24"/>
          <w:szCs w:val="24"/>
          <w:lang w:val="en-US"/>
        </w:rPr>
        <w:t xml:space="preserve"> on</w:t>
      </w:r>
      <w:r w:rsidRPr="004B3159">
        <w:rPr>
          <w:rFonts w:ascii="Times New Roman" w:hAnsi="Times New Roman" w:cs="Times New Roman"/>
          <w:bCs/>
          <w:sz w:val="24"/>
          <w:szCs w:val="24"/>
          <w:lang w:val="en-US"/>
        </w:rPr>
        <w:t xml:space="preserve"> </w:t>
      </w:r>
      <w:r w:rsidRPr="004B3159">
        <w:rPr>
          <w:rFonts w:ascii="Times New Roman" w:hAnsi="Times New Roman" w:cs="Times New Roman"/>
          <w:bCs/>
          <w:i/>
          <w:sz w:val="24"/>
          <w:szCs w:val="24"/>
          <w:lang w:val="en-US"/>
        </w:rPr>
        <w:t>t</w:t>
      </w:r>
      <w:r w:rsidRPr="004B3159">
        <w:rPr>
          <w:rFonts w:ascii="Times New Roman" w:hAnsi="Times New Roman" w:cs="Times New Roman"/>
          <w:i/>
          <w:sz w:val="24"/>
          <w:szCs w:val="24"/>
          <w:lang w:val="en-US"/>
        </w:rPr>
        <w:t>he member states</w:t>
      </w:r>
      <w:r>
        <w:rPr>
          <w:rFonts w:ascii="Times New Roman" w:hAnsi="Times New Roman" w:cs="Times New Roman"/>
          <w:i/>
          <w:sz w:val="24"/>
          <w:szCs w:val="24"/>
          <w:lang w:val="en-US"/>
        </w:rPr>
        <w:t>’</w:t>
      </w:r>
      <w:r w:rsidRPr="004B3159">
        <w:rPr>
          <w:rFonts w:ascii="Times New Roman" w:hAnsi="Times New Roman" w:cs="Times New Roman"/>
          <w:i/>
          <w:sz w:val="24"/>
          <w:szCs w:val="24"/>
          <w:lang w:val="en-US"/>
        </w:rPr>
        <w:t xml:space="preserve"> governments</w:t>
      </w:r>
      <w:r>
        <w:rPr>
          <w:rFonts w:ascii="Times New Roman" w:hAnsi="Times New Roman" w:cs="Times New Roman"/>
          <w:i/>
          <w:sz w:val="24"/>
          <w:szCs w:val="24"/>
          <w:lang w:val="en-US"/>
        </w:rPr>
        <w:t xml:space="preserve"> to stipulate that</w:t>
      </w:r>
      <w:r w:rsidRPr="004B3159">
        <w:rPr>
          <w:rFonts w:ascii="Times New Roman" w:hAnsi="Times New Roman" w:cs="Times New Roman"/>
          <w:i/>
          <w:sz w:val="24"/>
          <w:szCs w:val="24"/>
          <w:lang w:val="en-US"/>
        </w:rPr>
        <w:t xml:space="preserve"> public authorities and public institutions at the national, regional and local levels, as well as </w:t>
      </w:r>
      <w:r>
        <w:rPr>
          <w:rFonts w:ascii="Times New Roman" w:hAnsi="Times New Roman" w:cs="Times New Roman"/>
          <w:i/>
          <w:sz w:val="24"/>
          <w:szCs w:val="24"/>
          <w:lang w:val="en-US"/>
        </w:rPr>
        <w:t xml:space="preserve">their </w:t>
      </w:r>
      <w:r w:rsidRPr="004B3159">
        <w:rPr>
          <w:rFonts w:ascii="Times New Roman" w:hAnsi="Times New Roman" w:cs="Times New Roman"/>
          <w:i/>
          <w:sz w:val="24"/>
          <w:szCs w:val="24"/>
          <w:lang w:val="en-US"/>
        </w:rPr>
        <w:t>officials</w:t>
      </w:r>
      <w:r>
        <w:rPr>
          <w:rFonts w:ascii="Times New Roman" w:hAnsi="Times New Roman" w:cs="Times New Roman"/>
          <w:i/>
          <w:sz w:val="24"/>
          <w:szCs w:val="24"/>
          <w:lang w:val="en-US"/>
        </w:rPr>
        <w:t>,</w:t>
      </w:r>
      <w:r w:rsidRPr="004B3159">
        <w:rPr>
          <w:rFonts w:ascii="Times New Roman" w:hAnsi="Times New Roman" w:cs="Times New Roman"/>
          <w:sz w:val="24"/>
          <w:szCs w:val="24"/>
          <w:lang w:val="en-US"/>
        </w:rPr>
        <w:t xml:space="preserve"> have a special responsibility to refrain from statements</w:t>
      </w:r>
      <w:r>
        <w:rPr>
          <w:rFonts w:ascii="Times New Roman" w:hAnsi="Times New Roman" w:cs="Times New Roman"/>
          <w:sz w:val="24"/>
          <w:szCs w:val="24"/>
          <w:lang w:val="en-US"/>
        </w:rPr>
        <w:t xml:space="preserve"> -</w:t>
      </w:r>
      <w:r w:rsidRPr="004B3159">
        <w:rPr>
          <w:rFonts w:ascii="Times New Roman" w:hAnsi="Times New Roman" w:cs="Times New Roman"/>
          <w:sz w:val="24"/>
          <w:szCs w:val="24"/>
          <w:lang w:val="en-US"/>
        </w:rPr>
        <w:t xml:space="preserve"> </w:t>
      </w:r>
      <w:r w:rsidRPr="004B3159">
        <w:rPr>
          <w:rFonts w:ascii="Times New Roman" w:hAnsi="Times New Roman" w:cs="Times New Roman"/>
          <w:i/>
          <w:sz w:val="24"/>
          <w:szCs w:val="24"/>
          <w:lang w:val="en-US"/>
        </w:rPr>
        <w:t>particular</w:t>
      </w:r>
      <w:r>
        <w:rPr>
          <w:rFonts w:ascii="Times New Roman" w:hAnsi="Times New Roman" w:cs="Times New Roman"/>
          <w:i/>
          <w:sz w:val="24"/>
          <w:szCs w:val="24"/>
          <w:lang w:val="en-US"/>
        </w:rPr>
        <w:t>ly</w:t>
      </w:r>
      <w:r w:rsidRPr="004B3159">
        <w:rPr>
          <w:rFonts w:ascii="Times New Roman" w:hAnsi="Times New Roman" w:cs="Times New Roman"/>
          <w:i/>
          <w:sz w:val="24"/>
          <w:szCs w:val="24"/>
          <w:lang w:val="en-US"/>
        </w:rPr>
        <w:t xml:space="preserve"> in </w:t>
      </w:r>
      <w:r>
        <w:rPr>
          <w:rFonts w:ascii="Times New Roman" w:hAnsi="Times New Roman" w:cs="Times New Roman"/>
          <w:i/>
          <w:sz w:val="24"/>
          <w:szCs w:val="24"/>
          <w:lang w:val="en-US"/>
        </w:rPr>
        <w:t xml:space="preserve">front of </w:t>
      </w:r>
      <w:r w:rsidRPr="004B3159">
        <w:rPr>
          <w:rFonts w:ascii="Times New Roman" w:hAnsi="Times New Roman" w:cs="Times New Roman"/>
          <w:i/>
          <w:sz w:val="24"/>
          <w:szCs w:val="24"/>
          <w:lang w:val="en-US"/>
        </w:rPr>
        <w:t xml:space="preserve"> the media</w:t>
      </w:r>
      <w:r>
        <w:rPr>
          <w:rFonts w:ascii="Times New Roman" w:hAnsi="Times New Roman" w:cs="Times New Roman"/>
          <w:sz w:val="24"/>
          <w:szCs w:val="24"/>
          <w:lang w:val="en-US"/>
        </w:rPr>
        <w:t xml:space="preserve"> - </w:t>
      </w:r>
      <w:r w:rsidRPr="004B3159">
        <w:rPr>
          <w:rFonts w:ascii="Times New Roman" w:hAnsi="Times New Roman" w:cs="Times New Roman"/>
          <w:sz w:val="24"/>
          <w:szCs w:val="24"/>
          <w:lang w:val="en-US"/>
        </w:rPr>
        <w:t xml:space="preserve">which may reasonably be understood as hate speech, or as speech likely to produce the effect of legitimizing, spreading or promoting racial hatred, xenophobia, anti-Semitism or other forms of discrimination or hatred based on intolerance. Such statements should be prohibited and publicly disavowed whenever they occur. </w:t>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R</w:t>
      </w:r>
      <w:r w:rsidRPr="004B3159">
        <w:rPr>
          <w:rFonts w:ascii="Times New Roman" w:hAnsi="Times New Roman" w:cs="Times New Roman"/>
          <w:bCs/>
          <w:sz w:val="24"/>
          <w:szCs w:val="24"/>
          <w:lang w:val="en-US"/>
        </w:rPr>
        <w:t xml:space="preserve">ecommendation calls </w:t>
      </w:r>
      <w:r>
        <w:rPr>
          <w:rFonts w:ascii="Times New Roman" w:hAnsi="Times New Roman" w:cs="Times New Roman"/>
          <w:bCs/>
          <w:sz w:val="24"/>
          <w:szCs w:val="24"/>
          <w:lang w:val="en-US"/>
        </w:rPr>
        <w:t xml:space="preserve">on </w:t>
      </w:r>
      <w:r w:rsidRPr="004B3159">
        <w:rPr>
          <w:rFonts w:ascii="Times New Roman" w:hAnsi="Times New Roman" w:cs="Times New Roman"/>
          <w:bCs/>
          <w:sz w:val="24"/>
          <w:szCs w:val="24"/>
          <w:lang w:val="en-US"/>
        </w:rPr>
        <w:t xml:space="preserve">the governments to </w:t>
      </w:r>
      <w:r w:rsidRPr="004B3159">
        <w:rPr>
          <w:rFonts w:ascii="Times New Roman" w:hAnsi="Times New Roman" w:cs="Times New Roman"/>
          <w:i/>
          <w:sz w:val="24"/>
          <w:szCs w:val="24"/>
          <w:lang w:val="en-US"/>
        </w:rPr>
        <w:t>establish or maintain a sound legal framework consisting of civil, criminal and administrative law provisions on hate speech</w:t>
      </w:r>
      <w:r w:rsidRPr="004B3159">
        <w:rPr>
          <w:rFonts w:ascii="Times New Roman" w:hAnsi="Times New Roman" w:cs="Times New Roman"/>
          <w:sz w:val="24"/>
          <w:szCs w:val="24"/>
          <w:lang w:val="en-US"/>
        </w:rPr>
        <w:t xml:space="preserve"> that would allow administrative and judicial authorities to decide </w:t>
      </w:r>
      <w:r>
        <w:rPr>
          <w:rFonts w:ascii="Times New Roman" w:hAnsi="Times New Roman" w:cs="Times New Roman"/>
          <w:sz w:val="24"/>
          <w:szCs w:val="24"/>
          <w:lang w:val="en-US"/>
        </w:rPr>
        <w:t xml:space="preserve">that </w:t>
      </w:r>
      <w:r w:rsidRPr="004B3159">
        <w:rPr>
          <w:rFonts w:ascii="Times New Roman" w:hAnsi="Times New Roman" w:cs="Times New Roman"/>
          <w:sz w:val="24"/>
          <w:szCs w:val="24"/>
          <w:lang w:val="en-US"/>
        </w:rPr>
        <w:t>freedom of expression</w:t>
      </w:r>
      <w:r>
        <w:rPr>
          <w:rFonts w:ascii="Times New Roman" w:hAnsi="Times New Roman" w:cs="Times New Roman"/>
          <w:sz w:val="24"/>
          <w:szCs w:val="24"/>
          <w:lang w:val="en-US"/>
        </w:rPr>
        <w:t xml:space="preserve"> and</w:t>
      </w:r>
      <w:r w:rsidRPr="004B3159">
        <w:rPr>
          <w:rFonts w:ascii="Times New Roman" w:hAnsi="Times New Roman" w:cs="Times New Roman"/>
          <w:sz w:val="24"/>
          <w:szCs w:val="24"/>
          <w:lang w:val="en-US"/>
        </w:rPr>
        <w:t xml:space="preserve"> human dignity </w:t>
      </w:r>
      <w:r>
        <w:rPr>
          <w:rFonts w:ascii="Times New Roman" w:hAnsi="Times New Roman" w:cs="Times New Roman"/>
          <w:sz w:val="24"/>
          <w:szCs w:val="24"/>
          <w:lang w:val="en-US"/>
        </w:rPr>
        <w:t xml:space="preserve">are respected and </w:t>
      </w:r>
      <w:r w:rsidRPr="004B3159">
        <w:rPr>
          <w:rFonts w:ascii="Times New Roman" w:hAnsi="Times New Roman" w:cs="Times New Roman"/>
          <w:sz w:val="24"/>
          <w:szCs w:val="24"/>
          <w:lang w:val="en-US"/>
        </w:rPr>
        <w:t>the reputation or the rights of others</w:t>
      </w:r>
      <w:r>
        <w:rPr>
          <w:rFonts w:ascii="Times New Roman" w:hAnsi="Times New Roman" w:cs="Times New Roman"/>
          <w:sz w:val="24"/>
          <w:szCs w:val="24"/>
          <w:lang w:val="en-US"/>
        </w:rPr>
        <w:t xml:space="preserve"> are protected</w:t>
      </w:r>
      <w:r w:rsidRPr="004B3159">
        <w:rPr>
          <w:rFonts w:ascii="Times New Roman" w:hAnsi="Times New Roman" w:cs="Times New Roman"/>
          <w:sz w:val="24"/>
          <w:szCs w:val="24"/>
          <w:lang w:val="en-US"/>
        </w:rPr>
        <w:t xml:space="preserve"> in e</w:t>
      </w:r>
      <w:r>
        <w:rPr>
          <w:rFonts w:ascii="Times New Roman" w:hAnsi="Times New Roman" w:cs="Times New Roman"/>
          <w:sz w:val="24"/>
          <w:szCs w:val="24"/>
          <w:lang w:val="en-US"/>
        </w:rPr>
        <w:t>very</w:t>
      </w:r>
      <w:r w:rsidRPr="004B3159">
        <w:rPr>
          <w:rFonts w:ascii="Times New Roman" w:hAnsi="Times New Roman" w:cs="Times New Roman"/>
          <w:sz w:val="24"/>
          <w:szCs w:val="24"/>
          <w:lang w:val="en-US"/>
        </w:rPr>
        <w:t xml:space="preserve"> case</w:t>
      </w:r>
      <w:r>
        <w:rPr>
          <w:rFonts w:ascii="Times New Roman" w:hAnsi="Times New Roman" w:cs="Times New Roman"/>
          <w:sz w:val="24"/>
          <w:szCs w:val="24"/>
          <w:lang w:val="en-US"/>
        </w:rPr>
        <w:t xml:space="preserve">. </w:t>
      </w:r>
    </w:p>
    <w:p w:rsidR="009962E3" w:rsidRPr="004B3159" w:rsidRDefault="009962E3" w:rsidP="004B3159">
      <w:pPr>
        <w:spacing w:before="100" w:beforeAutospacing="1" w:after="100" w:afterAutospacing="1"/>
        <w:jc w:val="both"/>
        <w:rPr>
          <w:rFonts w:ascii="Times New Roman" w:hAnsi="Times New Roman" w:cs="Times New Roman"/>
          <w:i/>
          <w:sz w:val="24"/>
          <w:szCs w:val="24"/>
          <w:lang w:val="en-US"/>
        </w:rPr>
      </w:pPr>
      <w:r w:rsidRPr="004B3159">
        <w:rPr>
          <w:rFonts w:ascii="Times New Roman" w:hAnsi="Times New Roman" w:cs="Times New Roman"/>
          <w:sz w:val="24"/>
          <w:szCs w:val="24"/>
          <w:lang w:val="en-US"/>
        </w:rPr>
        <w:t xml:space="preserve">The governments are also called </w:t>
      </w:r>
      <w:r>
        <w:rPr>
          <w:rFonts w:ascii="Times New Roman" w:hAnsi="Times New Roman" w:cs="Times New Roman"/>
          <w:sz w:val="24"/>
          <w:szCs w:val="24"/>
          <w:lang w:val="en-US"/>
        </w:rPr>
        <w:t xml:space="preserve">upon </w:t>
      </w:r>
      <w:r w:rsidRPr="004B3159">
        <w:rPr>
          <w:rFonts w:ascii="Times New Roman" w:hAnsi="Times New Roman" w:cs="Times New Roman"/>
          <w:sz w:val="24"/>
          <w:szCs w:val="24"/>
          <w:lang w:val="en-US"/>
        </w:rPr>
        <w:t xml:space="preserve">to examine ways and means </w:t>
      </w:r>
      <w:r w:rsidRPr="004B3159">
        <w:rPr>
          <w:rFonts w:ascii="Times New Roman" w:hAnsi="Times New Roman" w:cs="Times New Roman"/>
          <w:i/>
          <w:sz w:val="24"/>
          <w:szCs w:val="24"/>
          <w:lang w:val="en-US"/>
        </w:rPr>
        <w:t xml:space="preserve">to stimulate and co-ordinate research </w:t>
      </w:r>
      <w:r>
        <w:rPr>
          <w:rFonts w:ascii="Times New Roman" w:hAnsi="Times New Roman" w:cs="Times New Roman"/>
          <w:i/>
          <w:sz w:val="24"/>
          <w:szCs w:val="24"/>
          <w:lang w:val="en-US"/>
        </w:rPr>
        <w:t>into</w:t>
      </w:r>
      <w:r w:rsidRPr="004B3159">
        <w:rPr>
          <w:rFonts w:ascii="Times New Roman" w:hAnsi="Times New Roman" w:cs="Times New Roman"/>
          <w:i/>
          <w:sz w:val="24"/>
          <w:szCs w:val="24"/>
          <w:lang w:val="en-US"/>
        </w:rPr>
        <w:t xml:space="preserve"> the effectiveness of existing legislation and legal practice; review the existing legal framework in order to ensure that it applies in an adequate manner to the various new media and communications services and networks; develop a coordinated prosecution policy based on national guidelines respecting the principles set out in this </w:t>
      </w:r>
      <w:r>
        <w:rPr>
          <w:rFonts w:ascii="Times New Roman" w:hAnsi="Times New Roman" w:cs="Times New Roman"/>
          <w:i/>
          <w:sz w:val="24"/>
          <w:szCs w:val="24"/>
          <w:lang w:val="en-US"/>
        </w:rPr>
        <w:t>R</w:t>
      </w:r>
      <w:r w:rsidRPr="004B3159">
        <w:rPr>
          <w:rFonts w:ascii="Times New Roman" w:hAnsi="Times New Roman" w:cs="Times New Roman"/>
          <w:i/>
          <w:sz w:val="24"/>
          <w:szCs w:val="24"/>
          <w:lang w:val="en-US"/>
        </w:rPr>
        <w:t>ecommendation; add community service order to the range of possible penal sanctions; enhance the possibilities to combat hate speech through civil law</w:t>
      </w:r>
      <w:r w:rsidRPr="004B3159">
        <w:rPr>
          <w:rFonts w:ascii="Times New Roman" w:hAnsi="Times New Roman" w:cs="Times New Roman"/>
          <w:i/>
          <w:sz w:val="24"/>
          <w:szCs w:val="24"/>
          <w:vertAlign w:val="superscript"/>
          <w:lang w:val="en-US"/>
        </w:rPr>
        <w:footnoteReference w:id="5"/>
      </w:r>
      <w:r w:rsidRPr="004B3159">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and </w:t>
      </w:r>
      <w:r w:rsidRPr="004B3159">
        <w:rPr>
          <w:rFonts w:ascii="Times New Roman" w:hAnsi="Times New Roman" w:cs="Times New Roman"/>
          <w:i/>
          <w:sz w:val="24"/>
          <w:szCs w:val="24"/>
          <w:lang w:val="en-US"/>
        </w:rPr>
        <w:t>provide the public and media professionals with information on</w:t>
      </w:r>
      <w:r>
        <w:rPr>
          <w:rFonts w:ascii="Times New Roman" w:hAnsi="Times New Roman" w:cs="Times New Roman"/>
          <w:i/>
          <w:sz w:val="24"/>
          <w:szCs w:val="24"/>
          <w:lang w:val="en-US"/>
        </w:rPr>
        <w:t xml:space="preserve"> the</w:t>
      </w:r>
      <w:r w:rsidRPr="004B3159">
        <w:rPr>
          <w:rFonts w:ascii="Times New Roman" w:hAnsi="Times New Roman" w:cs="Times New Roman"/>
          <w:i/>
          <w:sz w:val="24"/>
          <w:szCs w:val="24"/>
          <w:lang w:val="en-US"/>
        </w:rPr>
        <w:t xml:space="preserve"> legal provisions which apply to hate speech</w:t>
      </w:r>
      <w:r w:rsidRPr="004B3159">
        <w:rPr>
          <w:rFonts w:ascii="Times New Roman" w:hAnsi="Times New Roman" w:cs="Times New Roman"/>
          <w:sz w:val="24"/>
          <w:szCs w:val="24"/>
          <w:lang w:val="en-US"/>
        </w:rPr>
        <w:t xml:space="preserve">. </w:t>
      </w:r>
    </w:p>
    <w:p w:rsidR="009962E3" w:rsidRPr="004B3159" w:rsidRDefault="009962E3" w:rsidP="004B3159">
      <w:pPr>
        <w:spacing w:before="100" w:beforeAutospacing="1" w:after="100" w:afterAutospacing="1"/>
        <w:jc w:val="both"/>
        <w:rPr>
          <w:rFonts w:ascii="Times New Roman" w:hAnsi="Times New Roman" w:cs="Times New Roman"/>
          <w:b/>
          <w:bCs/>
          <w:sz w:val="24"/>
          <w:szCs w:val="24"/>
          <w:lang w:val="en-US"/>
        </w:rPr>
      </w:pPr>
      <w:r w:rsidRPr="004B3159">
        <w:rPr>
          <w:rFonts w:ascii="Times New Roman" w:hAnsi="Times New Roman" w:cs="Times New Roman"/>
          <w:sz w:val="24"/>
          <w:szCs w:val="24"/>
          <w:lang w:val="en-US"/>
        </w:rPr>
        <w:t>The governments should also make sure that</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in their legal frameworks</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w:t>
      </w:r>
      <w:r w:rsidRPr="004B3159">
        <w:rPr>
          <w:rFonts w:ascii="Times New Roman" w:hAnsi="Times New Roman" w:cs="Times New Roman"/>
          <w:i/>
          <w:sz w:val="24"/>
          <w:szCs w:val="24"/>
          <w:lang w:val="en-US"/>
        </w:rPr>
        <w:t>interferences with freedom of expression are narrowly circumscribed and applied in a lawful and non-arbitrary manner on the basis of objective criteria</w:t>
      </w:r>
      <w:r w:rsidRPr="004B3159">
        <w:rPr>
          <w:rFonts w:ascii="Times New Roman" w:hAnsi="Times New Roman" w:cs="Times New Roman"/>
          <w:sz w:val="24"/>
          <w:szCs w:val="24"/>
          <w:lang w:val="en-US"/>
        </w:rPr>
        <w:t>. Th</w:t>
      </w:r>
      <w:r>
        <w:rPr>
          <w:rFonts w:ascii="Times New Roman" w:hAnsi="Times New Roman" w:cs="Times New Roman"/>
          <w:sz w:val="24"/>
          <w:szCs w:val="24"/>
          <w:lang w:val="en-US"/>
        </w:rPr>
        <w:t>e</w:t>
      </w:r>
      <w:r w:rsidRPr="004B3159">
        <w:rPr>
          <w:rFonts w:ascii="Times New Roman" w:hAnsi="Times New Roman" w:cs="Times New Roman"/>
          <w:sz w:val="24"/>
          <w:szCs w:val="24"/>
          <w:lang w:val="en-US"/>
        </w:rPr>
        <w:t xml:space="preserve">n, in accordance with the fundamental requirement of the rule of law, </w:t>
      </w:r>
      <w:r w:rsidRPr="004B3159">
        <w:rPr>
          <w:rFonts w:ascii="Times New Roman" w:hAnsi="Times New Roman" w:cs="Times New Roman"/>
          <w:i/>
          <w:sz w:val="24"/>
          <w:szCs w:val="24"/>
          <w:lang w:val="en-US"/>
        </w:rPr>
        <w:t>any limitation of or interference with freedom of expression must be subject to independent judicial control</w:t>
      </w:r>
      <w:r w:rsidRPr="004B3159">
        <w:rPr>
          <w:rFonts w:ascii="Times New Roman" w:hAnsi="Times New Roman" w:cs="Times New Roman"/>
          <w:sz w:val="24"/>
          <w:szCs w:val="24"/>
          <w:lang w:val="en-US"/>
        </w:rPr>
        <w:t>. This requirement is particular</w:t>
      </w:r>
      <w:r>
        <w:rPr>
          <w:rFonts w:ascii="Times New Roman" w:hAnsi="Times New Roman" w:cs="Times New Roman"/>
          <w:sz w:val="24"/>
          <w:szCs w:val="24"/>
          <w:lang w:val="en-US"/>
        </w:rPr>
        <w:t>ly</w:t>
      </w:r>
      <w:r w:rsidRPr="004B3159">
        <w:rPr>
          <w:rFonts w:ascii="Times New Roman" w:hAnsi="Times New Roman" w:cs="Times New Roman"/>
          <w:sz w:val="24"/>
          <w:szCs w:val="24"/>
          <w:lang w:val="en-US"/>
        </w:rPr>
        <w:t xml:space="preserve"> important in cases where freedom of expression must be reconciled with respect for human dignity and the protection of the reputation or the rights of others. </w:t>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National law and practice should allow the courts to bear in mind that specific instances of hate speech may be so insulting to individuals or groups as not to enjoy the level of protection afforded by Article 10 of the European Convention on Human Rights to other forms of expression. This is the case where hate speech is aimed at destr</w:t>
      </w:r>
      <w:r>
        <w:rPr>
          <w:rFonts w:ascii="Times New Roman" w:hAnsi="Times New Roman" w:cs="Times New Roman"/>
          <w:sz w:val="24"/>
          <w:szCs w:val="24"/>
          <w:lang w:val="en-US"/>
        </w:rPr>
        <w:t>oying</w:t>
      </w:r>
      <w:r w:rsidRPr="004B3159">
        <w:rPr>
          <w:rFonts w:ascii="Times New Roman" w:hAnsi="Times New Roman" w:cs="Times New Roman"/>
          <w:sz w:val="24"/>
          <w:szCs w:val="24"/>
          <w:lang w:val="en-US"/>
        </w:rPr>
        <w:t xml:space="preserve"> the rights and freedoms laid down in the Convention or at limit</w:t>
      </w:r>
      <w:r>
        <w:rPr>
          <w:rFonts w:ascii="Times New Roman" w:hAnsi="Times New Roman" w:cs="Times New Roman"/>
          <w:sz w:val="24"/>
          <w:szCs w:val="24"/>
          <w:lang w:val="en-US"/>
        </w:rPr>
        <w:t>ing them</w:t>
      </w:r>
      <w:r w:rsidRPr="004B3159">
        <w:rPr>
          <w:rFonts w:ascii="Times New Roman" w:hAnsi="Times New Roman" w:cs="Times New Roman"/>
          <w:sz w:val="24"/>
          <w:szCs w:val="24"/>
          <w:lang w:val="en-US"/>
        </w:rPr>
        <w:t xml:space="preserve"> to a greater extent than provided therein. </w:t>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bCs/>
          <w:sz w:val="24"/>
          <w:szCs w:val="24"/>
          <w:lang w:val="en-US"/>
        </w:rPr>
        <w:t>Principle 5</w:t>
      </w:r>
      <w:r w:rsidRPr="004B3159">
        <w:rPr>
          <w:rFonts w:ascii="Times New Roman" w:hAnsi="Times New Roman" w:cs="Times New Roman"/>
          <w:sz w:val="24"/>
          <w:szCs w:val="24"/>
          <w:lang w:val="en-US"/>
        </w:rPr>
        <w:t xml:space="preserve"> of the Recommendation calls for national laws and practices </w:t>
      </w:r>
      <w:r w:rsidRPr="004B3159">
        <w:rPr>
          <w:rFonts w:ascii="Times New Roman" w:hAnsi="Times New Roman" w:cs="Times New Roman"/>
          <w:i/>
          <w:sz w:val="24"/>
          <w:szCs w:val="24"/>
          <w:lang w:val="en-US"/>
        </w:rPr>
        <w:t>to allow the competent prosecution authorities to give special attention, as far as their discretion permits, to cases involving hate speech</w:t>
      </w:r>
      <w:r w:rsidRPr="004B3159">
        <w:rPr>
          <w:rFonts w:ascii="Times New Roman" w:hAnsi="Times New Roman" w:cs="Times New Roman"/>
          <w:sz w:val="24"/>
          <w:szCs w:val="24"/>
          <w:lang w:val="en-US"/>
        </w:rPr>
        <w:t xml:space="preserve">. In this regard, these authorities should, in particular, give careful consideration to the suspect's right to freedom of expression given that the imposition of criminal sanctions generally constitutes a serious interference with that freedom. The competent courts should, </w:t>
      </w:r>
      <w:r w:rsidRPr="004B3159">
        <w:rPr>
          <w:rFonts w:ascii="Times New Roman" w:hAnsi="Times New Roman" w:cs="Times New Roman"/>
          <w:i/>
          <w:sz w:val="24"/>
          <w:szCs w:val="24"/>
          <w:lang w:val="en-US"/>
        </w:rPr>
        <w:t>when imposing criminal sanctions on persons convicted of hate speech offences, ensure strict respect for the principle of proportionality</w:t>
      </w:r>
      <w:r w:rsidRPr="004B3159">
        <w:rPr>
          <w:rFonts w:ascii="Times New Roman" w:hAnsi="Times New Roman" w:cs="Times New Roman"/>
          <w:sz w:val="24"/>
          <w:szCs w:val="24"/>
          <w:lang w:val="en-US"/>
        </w:rPr>
        <w:t xml:space="preserve">. </w:t>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National law and practice in the area of hate speech should take appropriate measures </w:t>
      </w:r>
      <w:r>
        <w:rPr>
          <w:rFonts w:ascii="Times New Roman" w:hAnsi="Times New Roman" w:cs="Times New Roman"/>
          <w:sz w:val="24"/>
          <w:szCs w:val="24"/>
          <w:lang w:val="en-US"/>
        </w:rPr>
        <w:t>concerning</w:t>
      </w:r>
      <w:r w:rsidRPr="004B3159">
        <w:rPr>
          <w:rFonts w:ascii="Times New Roman" w:hAnsi="Times New Roman" w:cs="Times New Roman"/>
          <w:sz w:val="24"/>
          <w:szCs w:val="24"/>
          <w:lang w:val="en-US"/>
        </w:rPr>
        <w:t xml:space="preserve"> the role of the media in communicating information and ideas </w:t>
      </w:r>
      <w:r w:rsidRPr="004B3159">
        <w:rPr>
          <w:rFonts w:ascii="Times New Roman" w:hAnsi="Times New Roman" w:cs="Times New Roman"/>
          <w:i/>
          <w:sz w:val="24"/>
          <w:szCs w:val="24"/>
          <w:lang w:val="en-US"/>
        </w:rPr>
        <w:t>which expose, analyze and explain specific instances of hate speech and the underlying phenomenon in general</w:t>
      </w:r>
      <w:r>
        <w:rPr>
          <w:rFonts w:ascii="Times New Roman" w:hAnsi="Times New Roman" w:cs="Times New Roman"/>
          <w:i/>
          <w:sz w:val="24"/>
          <w:szCs w:val="24"/>
          <w:lang w:val="en-US"/>
        </w:rPr>
        <w:t>,</w:t>
      </w:r>
      <w:r w:rsidRPr="004B3159">
        <w:rPr>
          <w:rFonts w:ascii="Times New Roman" w:hAnsi="Times New Roman" w:cs="Times New Roman"/>
          <w:i/>
          <w:sz w:val="24"/>
          <w:szCs w:val="24"/>
          <w:lang w:val="en-US"/>
        </w:rPr>
        <w:t xml:space="preserve"> as well as the right of the public to receive such information and ideas</w:t>
      </w:r>
      <w:r w:rsidRPr="004B3159">
        <w:rPr>
          <w:rFonts w:ascii="Times New Roman" w:hAnsi="Times New Roman" w:cs="Times New Roman"/>
          <w:sz w:val="24"/>
          <w:szCs w:val="24"/>
          <w:lang w:val="en-US"/>
        </w:rPr>
        <w:t xml:space="preserve">. </w:t>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One of the most important distinctions </w:t>
      </w:r>
      <w:r>
        <w:rPr>
          <w:rFonts w:ascii="Times New Roman" w:hAnsi="Times New Roman" w:cs="Times New Roman"/>
          <w:sz w:val="24"/>
          <w:szCs w:val="24"/>
          <w:lang w:val="en-US"/>
        </w:rPr>
        <w:t xml:space="preserve">that </w:t>
      </w:r>
      <w:r w:rsidRPr="004B3159">
        <w:rPr>
          <w:rFonts w:ascii="Times New Roman" w:hAnsi="Times New Roman" w:cs="Times New Roman"/>
          <w:sz w:val="24"/>
          <w:szCs w:val="24"/>
          <w:lang w:val="en-US"/>
        </w:rPr>
        <w:t xml:space="preserve">should be made clear by national laws and practice in order to </w:t>
      </w:r>
      <w:r w:rsidRPr="004B3159">
        <w:rPr>
          <w:rFonts w:ascii="Times New Roman" w:hAnsi="Times New Roman" w:cs="Times New Roman"/>
          <w:i/>
          <w:sz w:val="24"/>
          <w:szCs w:val="24"/>
          <w:lang w:val="en-US"/>
        </w:rPr>
        <w:t>distinguish clearly between the responsibility of the author of expressions of hate speech</w:t>
      </w:r>
      <w:r w:rsidRPr="004B3159">
        <w:rPr>
          <w:rFonts w:ascii="Times New Roman" w:hAnsi="Times New Roman" w:cs="Times New Roman"/>
          <w:sz w:val="24"/>
          <w:szCs w:val="24"/>
          <w:lang w:val="en-US"/>
        </w:rPr>
        <w:t xml:space="preserve"> on one hand</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w:t>
      </w:r>
      <w:r w:rsidRPr="004B3159">
        <w:rPr>
          <w:rFonts w:ascii="Times New Roman" w:hAnsi="Times New Roman" w:cs="Times New Roman"/>
          <w:i/>
          <w:sz w:val="24"/>
          <w:szCs w:val="24"/>
          <w:lang w:val="en-US"/>
        </w:rPr>
        <w:t>and any responsibility of the media and media professionals contributing to their dissemination</w:t>
      </w:r>
      <w:r w:rsidRPr="004B3159">
        <w:rPr>
          <w:rFonts w:ascii="Times New Roman" w:hAnsi="Times New Roman" w:cs="Times New Roman"/>
          <w:sz w:val="24"/>
          <w:szCs w:val="24"/>
          <w:lang w:val="en-US"/>
        </w:rPr>
        <w:t xml:space="preserve"> as part of their mission to communicate information and ideas on matters of public interest</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on the other. </w:t>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The important principle that the </w:t>
      </w:r>
      <w:r>
        <w:rPr>
          <w:rFonts w:ascii="Times New Roman" w:hAnsi="Times New Roman" w:cs="Times New Roman"/>
          <w:sz w:val="24"/>
          <w:szCs w:val="24"/>
          <w:lang w:val="en-US"/>
        </w:rPr>
        <w:t>R</w:t>
      </w:r>
      <w:r w:rsidRPr="004B3159">
        <w:rPr>
          <w:rFonts w:ascii="Times New Roman" w:hAnsi="Times New Roman" w:cs="Times New Roman"/>
          <w:sz w:val="24"/>
          <w:szCs w:val="24"/>
          <w:lang w:val="en-US"/>
        </w:rPr>
        <w:t xml:space="preserve">ecommendation points out is that the national laws and practices should bear in mind that </w:t>
      </w:r>
      <w:r w:rsidRPr="004B3159">
        <w:rPr>
          <w:rFonts w:ascii="Times New Roman" w:hAnsi="Times New Roman" w:cs="Times New Roman"/>
          <w:i/>
          <w:sz w:val="24"/>
          <w:szCs w:val="24"/>
          <w:lang w:val="en-US"/>
        </w:rPr>
        <w:t xml:space="preserve">reporting on racism, xenophobia, antisemitism or other forms of intolerance is fully protected by Article 10, </w:t>
      </w:r>
      <w:r>
        <w:rPr>
          <w:rFonts w:ascii="Times New Roman" w:hAnsi="Times New Roman" w:cs="Times New Roman"/>
          <w:i/>
          <w:sz w:val="24"/>
          <w:szCs w:val="24"/>
          <w:lang w:val="en-US"/>
        </w:rPr>
        <w:t>P</w:t>
      </w:r>
      <w:r w:rsidRPr="004B3159">
        <w:rPr>
          <w:rFonts w:ascii="Times New Roman" w:hAnsi="Times New Roman" w:cs="Times New Roman"/>
          <w:i/>
          <w:sz w:val="24"/>
          <w:szCs w:val="24"/>
          <w:lang w:val="en-US"/>
        </w:rPr>
        <w:t xml:space="preserve">aragraph 1, of the European Convention on Human Rights and may only be interfered with under the conditions set out in </w:t>
      </w:r>
      <w:r>
        <w:rPr>
          <w:rFonts w:ascii="Times New Roman" w:hAnsi="Times New Roman" w:cs="Times New Roman"/>
          <w:i/>
          <w:sz w:val="24"/>
          <w:szCs w:val="24"/>
          <w:lang w:val="en-US"/>
        </w:rPr>
        <w:t>P</w:t>
      </w:r>
      <w:r w:rsidRPr="004B3159">
        <w:rPr>
          <w:rFonts w:ascii="Times New Roman" w:hAnsi="Times New Roman" w:cs="Times New Roman"/>
          <w:i/>
          <w:sz w:val="24"/>
          <w:szCs w:val="24"/>
          <w:lang w:val="en-US"/>
        </w:rPr>
        <w:t>aragraph 2 of that provision</w:t>
      </w:r>
      <w:r w:rsidRPr="004B3159">
        <w:rPr>
          <w:rFonts w:ascii="Times New Roman" w:hAnsi="Times New Roman" w:cs="Times New Roman"/>
          <w:i/>
          <w:sz w:val="24"/>
          <w:szCs w:val="24"/>
          <w:vertAlign w:val="superscript"/>
          <w:lang w:val="en-US"/>
        </w:rPr>
        <w:footnoteReference w:id="6"/>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Further on, </w:t>
      </w:r>
      <w:r w:rsidRPr="004B3159">
        <w:rPr>
          <w:rFonts w:ascii="Times New Roman" w:hAnsi="Times New Roman" w:cs="Times New Roman"/>
          <w:b/>
          <w:i/>
          <w:sz w:val="24"/>
          <w:szCs w:val="24"/>
          <w:lang w:val="en-US"/>
        </w:rPr>
        <w:t>the standards applied by national authorities for assessing the necessity of restricting freedom of expression must be in conformity with the principles embodied in Article 10</w:t>
      </w:r>
      <w:r>
        <w:rPr>
          <w:rFonts w:ascii="Times New Roman" w:hAnsi="Times New Roman" w:cs="Times New Roman"/>
          <w:b/>
          <w:i/>
          <w:sz w:val="24"/>
          <w:szCs w:val="24"/>
          <w:lang w:val="en-US"/>
        </w:rPr>
        <w:t>,</w:t>
      </w:r>
      <w:r w:rsidRPr="004B3159">
        <w:rPr>
          <w:rFonts w:ascii="Times New Roman" w:hAnsi="Times New Roman" w:cs="Times New Roman"/>
          <w:b/>
          <w:i/>
          <w:sz w:val="24"/>
          <w:szCs w:val="24"/>
          <w:lang w:val="en-US"/>
        </w:rPr>
        <w:t xml:space="preserve"> as established in the case law of the Convention's organs, having regard, </w:t>
      </w:r>
      <w:r w:rsidRPr="004B3159">
        <w:rPr>
          <w:rFonts w:ascii="Times New Roman" w:hAnsi="Times New Roman" w:cs="Times New Roman"/>
          <w:b/>
          <w:i/>
          <w:iCs/>
          <w:sz w:val="24"/>
          <w:szCs w:val="24"/>
          <w:lang w:val="en-US"/>
        </w:rPr>
        <w:t>inter alia</w:t>
      </w:r>
      <w:r w:rsidRPr="004B3159">
        <w:rPr>
          <w:rFonts w:ascii="Times New Roman" w:hAnsi="Times New Roman" w:cs="Times New Roman"/>
          <w:b/>
          <w:i/>
          <w:sz w:val="24"/>
          <w:szCs w:val="24"/>
          <w:lang w:val="en-US"/>
        </w:rPr>
        <w:t>, to the manner, contents, context and purpose of the reporting</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And finally, the respect for journalistic freedoms also implies that it is not for the courts or the public authorities to impose their views on the media as to the types of reporting techniques to be adopted by journalists. </w:t>
      </w:r>
    </w:p>
    <w:p w:rsidR="009962E3" w:rsidRPr="00445A5A" w:rsidRDefault="009962E3" w:rsidP="00445A5A">
      <w:pPr>
        <w:pStyle w:val="ListParagraph"/>
        <w:numPr>
          <w:ilvl w:val="1"/>
          <w:numId w:val="33"/>
        </w:numPr>
        <w:spacing w:after="0" w:line="240" w:lineRule="auto"/>
        <w:contextualSpacing/>
        <w:jc w:val="both"/>
        <w:rPr>
          <w:rFonts w:ascii="Times New Roman" w:hAnsi="Times New Roman"/>
          <w:bCs/>
          <w:sz w:val="24"/>
          <w:szCs w:val="24"/>
        </w:rPr>
      </w:pPr>
      <w:r w:rsidRPr="00445A5A">
        <w:rPr>
          <w:rFonts w:ascii="Times New Roman" w:hAnsi="Times New Roman"/>
          <w:b/>
          <w:bCs/>
          <w:sz w:val="24"/>
          <w:szCs w:val="24"/>
        </w:rPr>
        <w:t>Recommendation No.</w:t>
      </w:r>
      <w:r>
        <w:rPr>
          <w:rFonts w:ascii="Times New Roman" w:hAnsi="Times New Roman"/>
          <w:b/>
          <w:bCs/>
          <w:sz w:val="24"/>
          <w:szCs w:val="24"/>
        </w:rPr>
        <w:t xml:space="preserve"> </w:t>
      </w:r>
      <w:r w:rsidRPr="00445A5A">
        <w:rPr>
          <w:rFonts w:ascii="Times New Roman" w:hAnsi="Times New Roman"/>
          <w:b/>
          <w:bCs/>
          <w:sz w:val="24"/>
          <w:szCs w:val="24"/>
        </w:rPr>
        <w:t xml:space="preserve">R (97) 21 on the media and the promotion </w:t>
      </w:r>
      <w:r>
        <w:rPr>
          <w:rFonts w:ascii="Times New Roman" w:hAnsi="Times New Roman"/>
          <w:b/>
          <w:bCs/>
          <w:sz w:val="24"/>
          <w:szCs w:val="24"/>
        </w:rPr>
        <w:tab/>
      </w:r>
      <w:r>
        <w:rPr>
          <w:rFonts w:ascii="Times New Roman" w:hAnsi="Times New Roman"/>
          <w:b/>
          <w:bCs/>
          <w:sz w:val="24"/>
          <w:szCs w:val="24"/>
        </w:rPr>
        <w:br/>
      </w:r>
      <w:r w:rsidRPr="00445A5A">
        <w:rPr>
          <w:rFonts w:ascii="Times New Roman" w:hAnsi="Times New Roman"/>
          <w:b/>
          <w:bCs/>
          <w:sz w:val="24"/>
          <w:szCs w:val="24"/>
        </w:rPr>
        <w:t>of a culture of tolerance</w:t>
      </w:r>
      <w:r w:rsidRPr="004B3159">
        <w:rPr>
          <w:vertAlign w:val="superscript"/>
        </w:rPr>
        <w:footnoteReference w:id="7"/>
      </w:r>
    </w:p>
    <w:p w:rsidR="009962E3" w:rsidRPr="004B3159" w:rsidRDefault="009962E3" w:rsidP="004B3159">
      <w:pPr>
        <w:jc w:val="both"/>
        <w:rPr>
          <w:rFonts w:ascii="Times New Roman" w:hAnsi="Times New Roman" w:cs="Times New Roman"/>
          <w:sz w:val="24"/>
          <w:szCs w:val="24"/>
          <w:lang w:val="en-US"/>
        </w:rPr>
      </w:pPr>
    </w:p>
    <w:p w:rsidR="009962E3" w:rsidRPr="004B3159" w:rsidRDefault="009962E3" w:rsidP="004B3159">
      <w:pPr>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This </w:t>
      </w:r>
      <w:r>
        <w:rPr>
          <w:rFonts w:ascii="Times New Roman" w:hAnsi="Times New Roman" w:cs="Times New Roman"/>
          <w:sz w:val="24"/>
          <w:szCs w:val="24"/>
          <w:lang w:val="en-US"/>
        </w:rPr>
        <w:t>R</w:t>
      </w:r>
      <w:r w:rsidRPr="004B3159">
        <w:rPr>
          <w:rFonts w:ascii="Times New Roman" w:hAnsi="Times New Roman" w:cs="Times New Roman"/>
          <w:sz w:val="24"/>
          <w:szCs w:val="24"/>
          <w:lang w:val="en-US"/>
        </w:rPr>
        <w:t>ecommendation asks from the governments of the member states to inform the following target groups o</w:t>
      </w:r>
      <w:r>
        <w:rPr>
          <w:rFonts w:ascii="Times New Roman" w:hAnsi="Times New Roman" w:cs="Times New Roman"/>
          <w:sz w:val="24"/>
          <w:szCs w:val="24"/>
          <w:lang w:val="en-US"/>
        </w:rPr>
        <w:t>f</w:t>
      </w:r>
      <w:r w:rsidRPr="004B3159">
        <w:rPr>
          <w:rFonts w:ascii="Times New Roman" w:hAnsi="Times New Roman" w:cs="Times New Roman"/>
          <w:sz w:val="24"/>
          <w:szCs w:val="24"/>
          <w:lang w:val="en-US"/>
        </w:rPr>
        <w:t xml:space="preserve"> the content of the </w:t>
      </w:r>
      <w:r>
        <w:rPr>
          <w:rFonts w:ascii="Times New Roman" w:hAnsi="Times New Roman" w:cs="Times New Roman"/>
          <w:sz w:val="24"/>
          <w:szCs w:val="24"/>
          <w:lang w:val="en-US"/>
        </w:rPr>
        <w:t>R</w:t>
      </w:r>
      <w:r w:rsidRPr="004B3159">
        <w:rPr>
          <w:rFonts w:ascii="Times New Roman" w:hAnsi="Times New Roman" w:cs="Times New Roman"/>
          <w:sz w:val="24"/>
          <w:szCs w:val="24"/>
          <w:lang w:val="en-US"/>
        </w:rPr>
        <w:t xml:space="preserve">ecommendation and its </w:t>
      </w:r>
      <w:r>
        <w:rPr>
          <w:rFonts w:ascii="Times New Roman" w:hAnsi="Times New Roman" w:cs="Times New Roman"/>
          <w:sz w:val="24"/>
          <w:szCs w:val="24"/>
          <w:lang w:val="en-US"/>
        </w:rPr>
        <w:t>A</w:t>
      </w:r>
      <w:r w:rsidRPr="004B3159">
        <w:rPr>
          <w:rFonts w:ascii="Times New Roman" w:hAnsi="Times New Roman" w:cs="Times New Roman"/>
          <w:sz w:val="24"/>
          <w:szCs w:val="24"/>
          <w:lang w:val="en-US"/>
        </w:rPr>
        <w:t xml:space="preserve">ppendix in order to implement them, as well as </w:t>
      </w:r>
      <w:r w:rsidRPr="004B3159">
        <w:rPr>
          <w:rFonts w:ascii="Times New Roman" w:hAnsi="Times New Roman" w:cs="Times New Roman"/>
          <w:i/>
          <w:sz w:val="24"/>
          <w:szCs w:val="24"/>
          <w:lang w:val="en-US"/>
        </w:rPr>
        <w:t>to examine in a positive spirit any request for support for initiatives</w:t>
      </w:r>
      <w:r w:rsidRPr="004B3159">
        <w:rPr>
          <w:rFonts w:ascii="Times New Roman" w:hAnsi="Times New Roman" w:cs="Times New Roman"/>
          <w:sz w:val="24"/>
          <w:szCs w:val="24"/>
          <w:lang w:val="en-US"/>
        </w:rPr>
        <w:t xml:space="preserve"> aris</w:t>
      </w:r>
      <w:r>
        <w:rPr>
          <w:rFonts w:ascii="Times New Roman" w:hAnsi="Times New Roman" w:cs="Times New Roman"/>
          <w:sz w:val="24"/>
          <w:szCs w:val="24"/>
          <w:lang w:val="en-US"/>
        </w:rPr>
        <w:t>ing</w:t>
      </w:r>
      <w:r w:rsidRPr="004B3159">
        <w:rPr>
          <w:rFonts w:ascii="Times New Roman" w:hAnsi="Times New Roman" w:cs="Times New Roman"/>
          <w:sz w:val="24"/>
          <w:szCs w:val="24"/>
          <w:lang w:val="en-US"/>
        </w:rPr>
        <w:t xml:space="preserve"> from this document. The target groups are the following:</w:t>
      </w:r>
    </w:p>
    <w:p w:rsidR="009962E3" w:rsidRPr="004B3159" w:rsidRDefault="009962E3" w:rsidP="004B3159">
      <w:pPr>
        <w:numPr>
          <w:ilvl w:val="0"/>
          <w:numId w:val="20"/>
        </w:numPr>
        <w:autoSpaceDE w:val="0"/>
        <w:autoSpaceDN w:val="0"/>
        <w:adjustRightInd w:val="0"/>
        <w:spacing w:after="0"/>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press, radio and television enterprises, as well as the new communications and advertising sectors;</w:t>
      </w:r>
    </w:p>
    <w:p w:rsidR="009962E3" w:rsidRPr="004B3159" w:rsidRDefault="009962E3" w:rsidP="004B3159">
      <w:pPr>
        <w:numPr>
          <w:ilvl w:val="0"/>
          <w:numId w:val="20"/>
        </w:numPr>
        <w:autoSpaceDE w:val="0"/>
        <w:autoSpaceDN w:val="0"/>
        <w:adjustRightInd w:val="0"/>
        <w:spacing w:after="0"/>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the representative bodies of media professionals in these sectors;</w:t>
      </w:r>
    </w:p>
    <w:p w:rsidR="009962E3" w:rsidRPr="004B3159" w:rsidRDefault="009962E3" w:rsidP="004B3159">
      <w:pPr>
        <w:numPr>
          <w:ilvl w:val="0"/>
          <w:numId w:val="20"/>
        </w:numPr>
        <w:autoSpaceDE w:val="0"/>
        <w:autoSpaceDN w:val="0"/>
        <w:adjustRightInd w:val="0"/>
        <w:spacing w:after="0"/>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regulatory and self-regulatory bodies in these sectors;</w:t>
      </w:r>
    </w:p>
    <w:p w:rsidR="009962E3" w:rsidRPr="004B3159" w:rsidRDefault="009962E3" w:rsidP="004B3159">
      <w:pPr>
        <w:numPr>
          <w:ilvl w:val="0"/>
          <w:numId w:val="20"/>
        </w:numPr>
        <w:autoSpaceDE w:val="0"/>
        <w:autoSpaceDN w:val="0"/>
        <w:adjustRightInd w:val="0"/>
        <w:spacing w:after="0"/>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schools of journalism and media training institutes</w:t>
      </w:r>
      <w:r>
        <w:rPr>
          <w:rFonts w:ascii="Times New Roman" w:hAnsi="Times New Roman" w:cs="Times New Roman"/>
          <w:sz w:val="24"/>
          <w:szCs w:val="24"/>
          <w:lang w:val="en-US"/>
        </w:rPr>
        <w:t>.</w:t>
      </w:r>
    </w:p>
    <w:p w:rsidR="009962E3" w:rsidRPr="00445A5A" w:rsidRDefault="009962E3" w:rsidP="00445A5A">
      <w:pPr>
        <w:pStyle w:val="ListParagraph"/>
        <w:numPr>
          <w:ilvl w:val="1"/>
          <w:numId w:val="3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3"/>
          <w:szCs w:val="23"/>
        </w:rPr>
        <w:br w:type="page"/>
      </w:r>
      <w:r w:rsidRPr="00445A5A">
        <w:rPr>
          <w:rFonts w:ascii="Times New Roman" w:hAnsi="Times New Roman"/>
          <w:b/>
          <w:sz w:val="23"/>
          <w:szCs w:val="23"/>
        </w:rPr>
        <w:t>Declaration on Freedom of Political Debate in the Media</w:t>
      </w:r>
      <w:r w:rsidRPr="004B3159">
        <w:rPr>
          <w:vertAlign w:val="superscript"/>
        </w:rPr>
        <w:footnoteReference w:id="8"/>
      </w:r>
      <w:r w:rsidRPr="00445A5A">
        <w:rPr>
          <w:rFonts w:ascii="Times New Roman" w:hAnsi="Times New Roman"/>
          <w:sz w:val="23"/>
          <w:szCs w:val="23"/>
        </w:rPr>
        <w:t xml:space="preserve"> </w:t>
      </w:r>
    </w:p>
    <w:p w:rsidR="009962E3" w:rsidRPr="004B3159" w:rsidRDefault="009962E3" w:rsidP="004B3159">
      <w:pPr>
        <w:autoSpaceDE w:val="0"/>
        <w:autoSpaceDN w:val="0"/>
        <w:adjustRightInd w:val="0"/>
        <w:spacing w:after="0" w:line="240" w:lineRule="auto"/>
        <w:ind w:left="720"/>
        <w:contextualSpacing/>
        <w:jc w:val="both"/>
        <w:rPr>
          <w:rFonts w:ascii="Times New Roman" w:hAnsi="Times New Roman" w:cs="Times New Roman"/>
          <w:sz w:val="24"/>
          <w:szCs w:val="24"/>
          <w:lang w:val="en-US"/>
        </w:rPr>
      </w:pPr>
    </w:p>
    <w:p w:rsidR="009962E3" w:rsidRPr="004B3159" w:rsidRDefault="009962E3" w:rsidP="00FD522D">
      <w:pPr>
        <w:spacing w:before="100" w:beforeAutospacing="1" w:after="100" w:afterAutospacing="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Pr="004B3159">
        <w:rPr>
          <w:rFonts w:ascii="Times New Roman" w:hAnsi="Times New Roman" w:cs="Times New Roman"/>
          <w:sz w:val="24"/>
          <w:szCs w:val="24"/>
          <w:lang w:val="en-US"/>
        </w:rPr>
        <w:t>D</w:t>
      </w:r>
      <w:r>
        <w:rPr>
          <w:rFonts w:ascii="Times New Roman" w:hAnsi="Times New Roman" w:cs="Times New Roman"/>
          <w:sz w:val="24"/>
          <w:szCs w:val="24"/>
          <w:lang w:val="en-US"/>
        </w:rPr>
        <w:t>eclaration d</w:t>
      </w:r>
      <w:r w:rsidRPr="004B3159">
        <w:rPr>
          <w:rFonts w:ascii="Times New Roman" w:hAnsi="Times New Roman" w:cs="Times New Roman"/>
          <w:sz w:val="24"/>
          <w:szCs w:val="24"/>
          <w:lang w:val="en-US"/>
        </w:rPr>
        <w:t xml:space="preserve">raws particular attention to the following principles concerning the dissemination of information and opinions in the media about political figures and public officials: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i/>
          <w:iCs/>
          <w:sz w:val="24"/>
          <w:szCs w:val="24"/>
          <w:lang w:val="en-US"/>
        </w:rPr>
        <w:t>I. Freedom of expression and information through the media</w:t>
      </w:r>
      <w:r w:rsidRPr="004B3159">
        <w:rPr>
          <w:rFonts w:ascii="Times New Roman" w:hAnsi="Times New Roman" w:cs="Times New Roman"/>
          <w:sz w:val="24"/>
          <w:szCs w:val="24"/>
          <w:lang w:val="en-US"/>
        </w:rPr>
        <w:t xml:space="preserve"> </w:t>
      </w:r>
    </w:p>
    <w:p w:rsidR="009962E3" w:rsidRPr="004B3159" w:rsidRDefault="009962E3" w:rsidP="00FD522D">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Pluralist democracy and freedom of political debate require that the public is informed about matters of public concern, which includes the right of the media to disseminate negative information and critical opinions concerning political figures and public officials, as well as the right of the public to receive them.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i/>
          <w:iCs/>
          <w:sz w:val="24"/>
          <w:szCs w:val="24"/>
          <w:lang w:val="en-US"/>
        </w:rPr>
        <w:t>II. Freedom to criticise the state or public institutions</w:t>
      </w:r>
      <w:r w:rsidRPr="004B3159">
        <w:rPr>
          <w:rFonts w:ascii="Times New Roman" w:hAnsi="Times New Roman" w:cs="Times New Roman"/>
          <w:sz w:val="24"/>
          <w:szCs w:val="24"/>
          <w:lang w:val="en-US"/>
        </w:rPr>
        <w:t xml:space="preserve"> </w:t>
      </w:r>
    </w:p>
    <w:p w:rsidR="009962E3" w:rsidRPr="004B3159" w:rsidRDefault="009962E3" w:rsidP="00FD522D">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The state, the government or any other institution of the executive, legislative or judicial branch may be subject to criticism in the media. Because of their dominant position, these institutions as such should not be protected by criminal law against defamatory or insulting statements. Where, however, these institutions enjoy such a protection, this protection should be applied in a restrictive manner, avoiding in any circumstances its use to restrict freedom to criticise. Individuals representing these institutions remain furthermore protected as individuals.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i/>
          <w:iCs/>
          <w:sz w:val="24"/>
          <w:szCs w:val="24"/>
          <w:lang w:val="en-US"/>
        </w:rPr>
        <w:t>III. Public debate and scrutiny over political figures</w:t>
      </w:r>
      <w:r w:rsidRPr="004B3159">
        <w:rPr>
          <w:rFonts w:ascii="Times New Roman" w:hAnsi="Times New Roman" w:cs="Times New Roman"/>
          <w:sz w:val="24"/>
          <w:szCs w:val="24"/>
          <w:lang w:val="en-US"/>
        </w:rPr>
        <w:t xml:space="preserve"> </w:t>
      </w:r>
    </w:p>
    <w:p w:rsidR="009962E3" w:rsidRPr="004B3159" w:rsidRDefault="009962E3" w:rsidP="00FD522D">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Political figures have decided to appeal to the confidence of the public and accepted to subject themselves to public political debate and are</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therefore</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subject to close public scrutiny and potentially robust and strong public criticism through the media over the way in which they have carried out or carry out their functions.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i/>
          <w:iCs/>
          <w:sz w:val="24"/>
          <w:szCs w:val="24"/>
          <w:lang w:val="en-US"/>
        </w:rPr>
        <w:t>IV. Public scrutiny over public officials</w:t>
      </w:r>
      <w:r w:rsidRPr="004B3159">
        <w:rPr>
          <w:rFonts w:ascii="Times New Roman" w:hAnsi="Times New Roman" w:cs="Times New Roman"/>
          <w:sz w:val="24"/>
          <w:szCs w:val="24"/>
          <w:lang w:val="en-US"/>
        </w:rPr>
        <w:t xml:space="preserve"> </w:t>
      </w:r>
    </w:p>
    <w:p w:rsidR="009962E3" w:rsidRDefault="009962E3" w:rsidP="00FD522D">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Public officials must accept that they will be subject to public scrutiny and criticism, particularly through the media, over the way in which they have carried out or carry out their functions, insofar as this is necessary for ensuring transparency and the responsible exercise of their functions.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en-US"/>
        </w:rPr>
        <w:br w:type="page"/>
      </w:r>
      <w:r w:rsidRPr="004B3159">
        <w:rPr>
          <w:rFonts w:ascii="Times New Roman" w:hAnsi="Times New Roman" w:cs="Times New Roman"/>
          <w:i/>
          <w:iCs/>
          <w:sz w:val="24"/>
          <w:szCs w:val="24"/>
          <w:lang w:val="en-US"/>
        </w:rPr>
        <w:t>V. Freedom of satire</w:t>
      </w:r>
      <w:r w:rsidRPr="004B3159">
        <w:rPr>
          <w:rFonts w:ascii="Times New Roman" w:hAnsi="Times New Roman" w:cs="Times New Roman"/>
          <w:sz w:val="24"/>
          <w:szCs w:val="24"/>
          <w:lang w:val="en-US"/>
        </w:rPr>
        <w:t xml:space="preserve"> </w:t>
      </w:r>
    </w:p>
    <w:p w:rsidR="009962E3" w:rsidRPr="004B3159" w:rsidRDefault="009962E3" w:rsidP="00FD522D">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The humorous and satirical genre, as protected by Article 10 of the Convention, allows for a wider degree of exaggeration and even provocation, as long as the public is not misled about facts.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i/>
          <w:iCs/>
          <w:sz w:val="24"/>
          <w:szCs w:val="24"/>
          <w:lang w:val="en-US"/>
        </w:rPr>
        <w:t>VI. Reputation of political figures and public officials</w:t>
      </w:r>
      <w:r w:rsidRPr="004B3159">
        <w:rPr>
          <w:rFonts w:ascii="Times New Roman" w:hAnsi="Times New Roman" w:cs="Times New Roman"/>
          <w:sz w:val="24"/>
          <w:szCs w:val="24"/>
          <w:lang w:val="en-US"/>
        </w:rPr>
        <w:t xml:space="preserve"> </w:t>
      </w:r>
    </w:p>
    <w:p w:rsidR="009962E3" w:rsidRPr="004B3159" w:rsidRDefault="009962E3" w:rsidP="00FD522D">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Political figures should not enjoy greater protection of their reputation and other rights than other individuals, and thus more severe sanctions should not be pronounced under domestic law against the media where the latter criticise political figures. This principle also applies to public officials; derogations should only be permissible where they are strictly necessary to enable public officials to exercise their functions in a proper manner</w:t>
      </w:r>
      <w:r w:rsidRPr="004B3159">
        <w:rPr>
          <w:rFonts w:ascii="Times New Roman" w:hAnsi="Times New Roman" w:cs="Times New Roman"/>
          <w:b/>
          <w:bCs/>
          <w:sz w:val="24"/>
          <w:szCs w:val="24"/>
          <w:lang w:val="en-US"/>
        </w:rPr>
        <w:t>.</w:t>
      </w:r>
      <w:r w:rsidRPr="004B3159">
        <w:rPr>
          <w:rFonts w:ascii="Times New Roman" w:hAnsi="Times New Roman" w:cs="Times New Roman"/>
          <w:sz w:val="24"/>
          <w:szCs w:val="24"/>
          <w:lang w:val="en-US"/>
        </w:rPr>
        <w:t xml:space="preserve">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i/>
          <w:iCs/>
          <w:sz w:val="24"/>
          <w:szCs w:val="24"/>
          <w:lang w:val="en-US"/>
        </w:rPr>
        <w:t>VII. Privacy of political figures and public officials</w:t>
      </w:r>
      <w:r w:rsidRPr="004B3159">
        <w:rPr>
          <w:rFonts w:ascii="Times New Roman" w:hAnsi="Times New Roman" w:cs="Times New Roman"/>
          <w:sz w:val="24"/>
          <w:szCs w:val="24"/>
          <w:lang w:val="en-US"/>
        </w:rPr>
        <w:t xml:space="preserve"> </w:t>
      </w:r>
    </w:p>
    <w:p w:rsidR="009962E3" w:rsidRPr="004B3159" w:rsidRDefault="009962E3" w:rsidP="00FD522D">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The private life and family life of political figures and public officials should be protected against media reporting under Article 8 of the Convention. Nevertheless, information about their private life may be disseminated where it is of direct public concern to the way in which they have carried out or carry out their functions,</w:t>
      </w:r>
      <w:r w:rsidRPr="004B3159">
        <w:rPr>
          <w:rFonts w:ascii="Times New Roman" w:hAnsi="Times New Roman" w:cs="Times New Roman"/>
          <w:b/>
          <w:bCs/>
          <w:sz w:val="24"/>
          <w:szCs w:val="24"/>
          <w:lang w:val="en-US"/>
        </w:rPr>
        <w:t xml:space="preserve"> </w:t>
      </w:r>
      <w:r w:rsidRPr="004B3159">
        <w:rPr>
          <w:rFonts w:ascii="Times New Roman" w:hAnsi="Times New Roman" w:cs="Times New Roman"/>
          <w:sz w:val="24"/>
          <w:szCs w:val="24"/>
          <w:lang w:val="en-US"/>
        </w:rPr>
        <w:t>while taking into account the need to avoid unnecessary harm to third parties. Where political figures and public officials draw public attention to parts of their private life, the media have the right to subject those parts to scrutiny.</w:t>
      </w:r>
      <w:r w:rsidRPr="004B3159">
        <w:rPr>
          <w:rFonts w:ascii="Times New Roman" w:hAnsi="Times New Roman" w:cs="Times New Roman"/>
          <w:b/>
          <w:bCs/>
          <w:sz w:val="24"/>
          <w:szCs w:val="24"/>
          <w:lang w:val="en-US"/>
        </w:rPr>
        <w:t xml:space="preserve">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i/>
          <w:iCs/>
          <w:sz w:val="24"/>
          <w:szCs w:val="24"/>
          <w:lang w:val="en-US"/>
        </w:rPr>
        <w:t>VIII. Remedies against violations by the media</w:t>
      </w:r>
      <w:r w:rsidRPr="004B3159">
        <w:rPr>
          <w:rFonts w:ascii="Times New Roman" w:hAnsi="Times New Roman" w:cs="Times New Roman"/>
          <w:sz w:val="24"/>
          <w:szCs w:val="24"/>
          <w:lang w:val="en-US"/>
        </w:rPr>
        <w:t xml:space="preserve"> </w:t>
      </w:r>
    </w:p>
    <w:p w:rsidR="009962E3" w:rsidRPr="004B3159" w:rsidRDefault="009962E3" w:rsidP="00FD522D">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Political figures and public officials should only have access to those legal remedies against the media which private individuals have in case of violations of their rights by the media. Damages and fines for defamation or insult must bear a reasonable relationship of proportionality to the violation of the rights or reputation of others, taking into consideration any possible effective and adequate voluntary remedies that have been granted by the media and accepted by the persons concerned. Defamation or insult by the media should not lead to imprisonment, unless the seriousness of the violation of the rights or reputation of others makes it a strictly necessary and proportionate penalty, especially where other fundamental rights have been seriously violated through defamatory or insulting statements in the media, such as hate speech. </w:t>
      </w:r>
    </w:p>
    <w:p w:rsidR="009962E3" w:rsidRPr="00445A5A" w:rsidRDefault="009962E3" w:rsidP="00445A5A">
      <w:pPr>
        <w:pStyle w:val="ListParagraph"/>
        <w:numPr>
          <w:ilvl w:val="1"/>
          <w:numId w:val="33"/>
        </w:numPr>
        <w:autoSpaceDE w:val="0"/>
        <w:autoSpaceDN w:val="0"/>
        <w:adjustRightInd w:val="0"/>
        <w:spacing w:after="0" w:line="240" w:lineRule="auto"/>
        <w:contextualSpacing/>
        <w:jc w:val="both"/>
        <w:rPr>
          <w:rFonts w:ascii="Times New Roman" w:hAnsi="Times New Roman"/>
          <w:sz w:val="24"/>
          <w:szCs w:val="24"/>
        </w:rPr>
      </w:pPr>
      <w:r w:rsidRPr="00445A5A">
        <w:rPr>
          <w:rFonts w:ascii="Times New Roman" w:hAnsi="Times New Roman"/>
          <w:b/>
          <w:sz w:val="23"/>
          <w:szCs w:val="23"/>
        </w:rPr>
        <w:t>Recommendation CM/Rec(2011) 7 on a new notion of media</w:t>
      </w:r>
      <w:r w:rsidRPr="004B3159">
        <w:rPr>
          <w:vertAlign w:val="superscript"/>
        </w:rPr>
        <w:footnoteReference w:id="9"/>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bCs/>
          <w:iCs/>
          <w:sz w:val="24"/>
          <w:szCs w:val="24"/>
          <w:lang w:val="en-US"/>
        </w:rPr>
        <w:t xml:space="preserve">This Recommendation has the following indicator for </w:t>
      </w:r>
      <w:r>
        <w:rPr>
          <w:rFonts w:ascii="Times New Roman" w:hAnsi="Times New Roman" w:cs="Times New Roman"/>
          <w:bCs/>
          <w:iCs/>
          <w:sz w:val="24"/>
          <w:szCs w:val="24"/>
          <w:lang w:val="en-US"/>
        </w:rPr>
        <w:t>h</w:t>
      </w:r>
      <w:r w:rsidRPr="004B3159">
        <w:rPr>
          <w:rFonts w:ascii="Times New Roman" w:hAnsi="Times New Roman" w:cs="Times New Roman"/>
          <w:bCs/>
          <w:iCs/>
          <w:sz w:val="24"/>
          <w:szCs w:val="24"/>
          <w:lang w:val="en-US"/>
        </w:rPr>
        <w:t xml:space="preserve">ate speech: </w:t>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“Media should refrain from conveying hate speech and other content that incites violence or discrimination for whatever reason. Special attention is needed on the part of actors operating collective online shared spaces which are designed to facilitate interactive mass communication (or mass communication in aggregate). They should be attentive to the use of, and editorial response to, expressions motivated by racist, xenophobic, anti-Semitic, misogynist, sexist or other bias. Actors in the new media ecosystem may be required (by law) to report to the competent authorities criminal threats of violence based on racial, ethnic, religious, gender or other grounds that come to their attention</w:t>
      </w:r>
      <w:r>
        <w:rPr>
          <w:rFonts w:ascii="Times New Roman" w:hAnsi="Times New Roman" w:cs="Times New Roman"/>
          <w:sz w:val="24"/>
          <w:szCs w:val="24"/>
          <w:lang w:val="en-US"/>
        </w:rPr>
        <w:t>.</w:t>
      </w:r>
      <w:r w:rsidRPr="004B3159">
        <w:rPr>
          <w:rFonts w:ascii="Times New Roman" w:hAnsi="Times New Roman" w:cs="Times New Roman"/>
          <w:sz w:val="24"/>
          <w:szCs w:val="24"/>
          <w:lang w:val="en-US"/>
        </w:rPr>
        <w:t>”</w:t>
      </w:r>
    </w:p>
    <w:p w:rsidR="009962E3"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On the other hand, media can provide a balanced (or positive) image of the various groups that make up society and contribute to a culture of tolerance and dialogue. Other than in the cases prescribed by law with due respect to the provisions of the European Convention on Human Rights, no group in society should be discriminated from in the exercise of the right to association which, in the new media ecosystem, includes online association.</w:t>
      </w:r>
    </w:p>
    <w:p w:rsidR="009962E3" w:rsidRPr="00445A5A" w:rsidRDefault="009962E3" w:rsidP="00445A5A">
      <w:pPr>
        <w:pStyle w:val="ListParagraph"/>
        <w:numPr>
          <w:ilvl w:val="1"/>
          <w:numId w:val="33"/>
        </w:numPr>
        <w:autoSpaceDE w:val="0"/>
        <w:autoSpaceDN w:val="0"/>
        <w:adjustRightInd w:val="0"/>
        <w:spacing w:after="0" w:line="240" w:lineRule="auto"/>
        <w:contextualSpacing/>
        <w:jc w:val="both"/>
        <w:rPr>
          <w:rFonts w:ascii="Times New Roman" w:hAnsi="Times New Roman"/>
          <w:sz w:val="24"/>
          <w:szCs w:val="24"/>
        </w:rPr>
      </w:pPr>
      <w:r w:rsidRPr="00445A5A">
        <w:rPr>
          <w:rFonts w:ascii="Times New Roman" w:hAnsi="Times New Roman"/>
          <w:b/>
          <w:sz w:val="24"/>
          <w:szCs w:val="24"/>
        </w:rPr>
        <w:t>Additional Protocol to the Convention on Cybercrime</w:t>
      </w:r>
      <w:r w:rsidRPr="004B3159">
        <w:rPr>
          <w:vertAlign w:val="superscript"/>
        </w:rPr>
        <w:footnoteReference w:id="10"/>
      </w:r>
    </w:p>
    <w:p w:rsidR="009962E3" w:rsidRPr="004B3159" w:rsidRDefault="009962E3" w:rsidP="004B3159">
      <w:pPr>
        <w:autoSpaceDE w:val="0"/>
        <w:autoSpaceDN w:val="0"/>
        <w:adjustRightInd w:val="0"/>
        <w:jc w:val="both"/>
        <w:rPr>
          <w:rFonts w:ascii="Times New Roman" w:hAnsi="Times New Roman" w:cs="Times New Roman"/>
          <w:sz w:val="24"/>
          <w:szCs w:val="24"/>
          <w:lang w:val="en-US"/>
        </w:rPr>
      </w:pPr>
    </w:p>
    <w:p w:rsidR="009962E3" w:rsidRPr="004B3159" w:rsidRDefault="009962E3" w:rsidP="004B3159">
      <w:pPr>
        <w:autoSpaceDE w:val="0"/>
        <w:autoSpaceDN w:val="0"/>
        <w:adjustRightInd w:val="0"/>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In the </w:t>
      </w:r>
      <w:r>
        <w:rPr>
          <w:rFonts w:ascii="Times New Roman" w:hAnsi="Times New Roman" w:cs="Times New Roman"/>
          <w:sz w:val="24"/>
          <w:szCs w:val="24"/>
          <w:lang w:val="en-US"/>
        </w:rPr>
        <w:t>A</w:t>
      </w:r>
      <w:r w:rsidRPr="004B3159">
        <w:rPr>
          <w:rFonts w:ascii="Times New Roman" w:hAnsi="Times New Roman" w:cs="Times New Roman"/>
          <w:sz w:val="24"/>
          <w:szCs w:val="24"/>
          <w:lang w:val="en-US"/>
        </w:rPr>
        <w:t xml:space="preserve">dditional </w:t>
      </w:r>
      <w:r>
        <w:rPr>
          <w:rFonts w:ascii="Times New Roman" w:hAnsi="Times New Roman" w:cs="Times New Roman"/>
          <w:sz w:val="24"/>
          <w:szCs w:val="24"/>
          <w:lang w:val="en-US"/>
        </w:rPr>
        <w:t>P</w:t>
      </w:r>
      <w:r w:rsidRPr="004B3159">
        <w:rPr>
          <w:rFonts w:ascii="Times New Roman" w:hAnsi="Times New Roman" w:cs="Times New Roman"/>
          <w:sz w:val="24"/>
          <w:szCs w:val="24"/>
          <w:lang w:val="en-US"/>
        </w:rPr>
        <w:t xml:space="preserve">rotocol </w:t>
      </w:r>
      <w:r>
        <w:rPr>
          <w:rFonts w:ascii="Times New Roman" w:hAnsi="Times New Roman" w:cs="Times New Roman"/>
          <w:sz w:val="24"/>
          <w:szCs w:val="24"/>
          <w:lang w:val="en-US"/>
        </w:rPr>
        <w:t>to</w:t>
      </w:r>
      <w:r w:rsidRPr="004B3159">
        <w:rPr>
          <w:rFonts w:ascii="Times New Roman" w:hAnsi="Times New Roman" w:cs="Times New Roman"/>
          <w:sz w:val="24"/>
          <w:szCs w:val="24"/>
          <w:lang w:val="en-US"/>
        </w:rPr>
        <w:t xml:space="preserve"> the Convention there is an important definition of “racist and xenophobic material” s</w:t>
      </w:r>
      <w:r>
        <w:rPr>
          <w:rFonts w:ascii="Times New Roman" w:hAnsi="Times New Roman" w:cs="Times New Roman"/>
          <w:sz w:val="24"/>
          <w:szCs w:val="24"/>
          <w:lang w:val="en-US"/>
        </w:rPr>
        <w:t>tat</w:t>
      </w:r>
      <w:r w:rsidRPr="004B3159">
        <w:rPr>
          <w:rFonts w:ascii="Times New Roman" w:hAnsi="Times New Roman" w:cs="Times New Roman"/>
          <w:sz w:val="24"/>
          <w:szCs w:val="24"/>
          <w:lang w:val="en-US"/>
        </w:rPr>
        <w:t>ing:</w:t>
      </w:r>
    </w:p>
    <w:p w:rsidR="009962E3" w:rsidRPr="004B3159" w:rsidRDefault="009962E3" w:rsidP="00FD522D">
      <w:pPr>
        <w:spacing w:before="100" w:beforeAutospacing="1" w:after="100" w:afterAutospacing="1"/>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4B3159">
        <w:rPr>
          <w:rFonts w:ascii="Times New Roman" w:hAnsi="Times New Roman" w:cs="Times New Roman"/>
          <w:sz w:val="24"/>
          <w:szCs w:val="24"/>
          <w:lang w:val="en-US"/>
        </w:rPr>
        <w:t>For the purposes of this Protocol</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w:t>
      </w:r>
      <w:r w:rsidRPr="004B3159">
        <w:rPr>
          <w:rFonts w:ascii="Times New Roman" w:hAnsi="Times New Roman" w:cs="Times New Roman"/>
          <w:i/>
          <w:iCs/>
          <w:sz w:val="24"/>
          <w:szCs w:val="24"/>
          <w:lang w:val="en-US"/>
        </w:rPr>
        <w:t>"racist and xenophobic material"</w:t>
      </w:r>
      <w:r w:rsidRPr="004B3159">
        <w:rPr>
          <w:rFonts w:ascii="Times New Roman" w:hAnsi="Times New Roman" w:cs="Times New Roman"/>
          <w:sz w:val="24"/>
          <w:szCs w:val="24"/>
          <w:lang w:val="en-US"/>
        </w:rPr>
        <w:t> means any written material, any image or any other representation of ideas or theories, which advocates, promotes or incites hatred, discrimination or violence, against any individual or group of individuals, based on race, colour, descent or national or ethnic origin, as well as religion if used as a pretext for any of these factors.</w:t>
      </w:r>
      <w:r>
        <w:rPr>
          <w:rFonts w:ascii="Times New Roman" w:hAnsi="Times New Roman" w:cs="Times New Roman"/>
          <w:sz w:val="24"/>
          <w:szCs w:val="24"/>
          <w:lang w:val="en-US"/>
        </w:rPr>
        <w:t>”</w:t>
      </w:r>
    </w:p>
    <w:p w:rsidR="009962E3" w:rsidRPr="004B3159" w:rsidRDefault="009962E3" w:rsidP="004B3159">
      <w:pPr>
        <w:spacing w:before="100" w:beforeAutospacing="1" w:after="100" w:afterAutospacing="1" w:line="240" w:lineRule="auto"/>
        <w:jc w:val="center"/>
        <w:rPr>
          <w:rFonts w:ascii="Times New Roman" w:hAnsi="Times New Roman" w:cs="Times New Roman"/>
          <w:b/>
          <w:sz w:val="24"/>
          <w:szCs w:val="24"/>
          <w:lang w:val="en-US"/>
        </w:rPr>
      </w:pPr>
    </w:p>
    <w:p w:rsidR="009962E3" w:rsidRPr="00967A83" w:rsidRDefault="009962E3" w:rsidP="00445A5A">
      <w:pPr>
        <w:pStyle w:val="ListParagraph"/>
        <w:numPr>
          <w:ilvl w:val="0"/>
          <w:numId w:val="33"/>
        </w:numPr>
        <w:spacing w:before="100" w:beforeAutospacing="1" w:after="100" w:afterAutospacing="1" w:line="240" w:lineRule="auto"/>
        <w:ind w:left="360"/>
        <w:rPr>
          <w:rFonts w:ascii="Times New Roman" w:hAnsi="Times New Roman"/>
          <w:b/>
          <w:sz w:val="28"/>
          <w:szCs w:val="28"/>
        </w:rPr>
      </w:pPr>
      <w:r w:rsidRPr="00967A83">
        <w:rPr>
          <w:rFonts w:ascii="Times New Roman" w:hAnsi="Times New Roman"/>
          <w:b/>
          <w:sz w:val="24"/>
          <w:szCs w:val="24"/>
        </w:rPr>
        <w:br w:type="page"/>
      </w:r>
      <w:r w:rsidRPr="00967A83">
        <w:rPr>
          <w:rFonts w:ascii="Times New Roman" w:hAnsi="Times New Roman"/>
          <w:b/>
          <w:sz w:val="28"/>
          <w:szCs w:val="28"/>
        </w:rPr>
        <w:t>European Court o</w:t>
      </w:r>
      <w:r>
        <w:rPr>
          <w:rFonts w:ascii="Times New Roman" w:hAnsi="Times New Roman"/>
          <w:b/>
          <w:sz w:val="28"/>
          <w:szCs w:val="28"/>
        </w:rPr>
        <w:t>f</w:t>
      </w:r>
      <w:r w:rsidRPr="00967A83">
        <w:rPr>
          <w:rFonts w:ascii="Times New Roman" w:hAnsi="Times New Roman"/>
          <w:b/>
          <w:sz w:val="28"/>
          <w:szCs w:val="28"/>
        </w:rPr>
        <w:t xml:space="preserve"> Human Rights (ECHR)</w:t>
      </w:r>
      <w:r>
        <w:rPr>
          <w:rFonts w:ascii="Times New Roman" w:hAnsi="Times New Roman"/>
          <w:b/>
          <w:sz w:val="28"/>
          <w:szCs w:val="28"/>
        </w:rPr>
        <w:t>’</w:t>
      </w:r>
      <w:r w:rsidRPr="00967A83">
        <w:rPr>
          <w:rFonts w:ascii="Times New Roman" w:hAnsi="Times New Roman"/>
          <w:b/>
          <w:sz w:val="28"/>
          <w:szCs w:val="28"/>
        </w:rPr>
        <w:t xml:space="preserve"> approach </w:t>
      </w:r>
      <w:r>
        <w:rPr>
          <w:rFonts w:ascii="Times New Roman" w:hAnsi="Times New Roman"/>
          <w:b/>
          <w:sz w:val="28"/>
          <w:szCs w:val="28"/>
        </w:rPr>
        <w:br/>
      </w:r>
      <w:r w:rsidRPr="00967A83">
        <w:rPr>
          <w:rFonts w:ascii="Times New Roman" w:hAnsi="Times New Roman"/>
          <w:b/>
          <w:sz w:val="28"/>
          <w:szCs w:val="28"/>
        </w:rPr>
        <w:t xml:space="preserve">towards “Hate Speech”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p>
    <w:p w:rsidR="009962E3" w:rsidRPr="004B3159" w:rsidRDefault="009962E3" w:rsidP="00FD522D">
      <w:pPr>
        <w:tabs>
          <w:tab w:val="num" w:pos="720"/>
        </w:tabs>
        <w:spacing w:before="100" w:beforeAutospacing="1" w:after="100" w:afterAutospacing="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4B3159">
        <w:rPr>
          <w:rFonts w:ascii="Times New Roman" w:hAnsi="Times New Roman" w:cs="Times New Roman"/>
          <w:sz w:val="24"/>
          <w:szCs w:val="24"/>
          <w:lang w:val="en-US"/>
        </w:rPr>
        <w:t>European Court o</w:t>
      </w:r>
      <w:r>
        <w:rPr>
          <w:rFonts w:ascii="Times New Roman" w:hAnsi="Times New Roman" w:cs="Times New Roman"/>
          <w:sz w:val="24"/>
          <w:szCs w:val="24"/>
          <w:lang w:val="en-US"/>
        </w:rPr>
        <w:t>f</w:t>
      </w:r>
      <w:r w:rsidRPr="004B3159">
        <w:rPr>
          <w:rFonts w:ascii="Times New Roman" w:hAnsi="Times New Roman" w:cs="Times New Roman"/>
          <w:sz w:val="24"/>
          <w:szCs w:val="24"/>
          <w:lang w:val="en-US"/>
        </w:rPr>
        <w:t xml:space="preserve"> Human Rights was established in Strasbourg in 1959 by the Council of Europe Member States to deal with alleged violations of the European Convention on Human Rights. It judges in particular on the basis of Article 10 of the European Convention o</w:t>
      </w:r>
      <w:r>
        <w:rPr>
          <w:rFonts w:ascii="Times New Roman" w:hAnsi="Times New Roman" w:cs="Times New Roman"/>
          <w:sz w:val="24"/>
          <w:szCs w:val="24"/>
          <w:lang w:val="en-US"/>
        </w:rPr>
        <w:t>n</w:t>
      </w:r>
      <w:r w:rsidRPr="004B3159">
        <w:rPr>
          <w:rFonts w:ascii="Times New Roman" w:hAnsi="Times New Roman" w:cs="Times New Roman"/>
          <w:sz w:val="24"/>
          <w:szCs w:val="24"/>
          <w:lang w:val="en-US"/>
        </w:rPr>
        <w:t xml:space="preserve"> Human Rights</w:t>
      </w:r>
      <w:r w:rsidRPr="004B3159">
        <w:rPr>
          <w:rFonts w:ascii="Times New Roman" w:hAnsi="Times New Roman" w:cs="Times New Roman"/>
          <w:sz w:val="24"/>
          <w:vertAlign w:val="superscript"/>
          <w:lang w:val="en-US"/>
        </w:rPr>
        <w:footnoteReference w:id="11"/>
      </w:r>
      <w:r w:rsidRPr="004B3159">
        <w:rPr>
          <w:rFonts w:ascii="Times New Roman" w:hAnsi="Times New Roman" w:cs="Times New Roman"/>
          <w:sz w:val="24"/>
          <w:szCs w:val="24"/>
          <w:lang w:val="en-US"/>
        </w:rPr>
        <w:t xml:space="preserve"> and on the three</w:t>
      </w:r>
      <w:r>
        <w:rPr>
          <w:rFonts w:ascii="Times New Roman" w:hAnsi="Times New Roman" w:cs="Times New Roman"/>
          <w:sz w:val="24"/>
          <w:szCs w:val="24"/>
          <w:lang w:val="mk-MK"/>
        </w:rPr>
        <w:t>-</w:t>
      </w:r>
      <w:r w:rsidRPr="004B3159">
        <w:rPr>
          <w:rFonts w:ascii="Times New Roman" w:hAnsi="Times New Roman" w:cs="Times New Roman"/>
          <w:sz w:val="24"/>
          <w:szCs w:val="24"/>
          <w:lang w:val="en-US"/>
        </w:rPr>
        <w:t xml:space="preserve">partite test of whether the restriction of freedom of expression is prescribed by law, </w:t>
      </w:r>
      <w:r>
        <w:rPr>
          <w:rFonts w:ascii="Times New Roman" w:hAnsi="Times New Roman" w:cs="Times New Roman"/>
          <w:sz w:val="24"/>
          <w:szCs w:val="24"/>
          <w:lang w:val="en-US"/>
        </w:rPr>
        <w:t xml:space="preserve">its aim is </w:t>
      </w:r>
      <w:r w:rsidRPr="004B3159">
        <w:rPr>
          <w:rFonts w:ascii="Times New Roman" w:hAnsi="Times New Roman" w:cs="Times New Roman"/>
          <w:sz w:val="24"/>
          <w:szCs w:val="24"/>
          <w:lang w:val="en-US"/>
        </w:rPr>
        <w:t>legitimate</w:t>
      </w:r>
      <w:r>
        <w:rPr>
          <w:rFonts w:ascii="Times New Roman" w:hAnsi="Times New Roman" w:cs="Times New Roman"/>
          <w:sz w:val="24"/>
          <w:szCs w:val="24"/>
          <w:lang w:val="en-US"/>
        </w:rPr>
        <w:t xml:space="preserve">, </w:t>
      </w:r>
      <w:r w:rsidRPr="004B3159">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is </w:t>
      </w:r>
      <w:r w:rsidRPr="004B3159">
        <w:rPr>
          <w:rFonts w:ascii="Times New Roman" w:hAnsi="Times New Roman" w:cs="Times New Roman"/>
          <w:sz w:val="24"/>
          <w:szCs w:val="24"/>
          <w:lang w:val="en-US"/>
        </w:rPr>
        <w:t xml:space="preserve">necessary in the democratic society. </w:t>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Every private person or organization who beli</w:t>
      </w:r>
      <w:r>
        <w:rPr>
          <w:rFonts w:ascii="Times New Roman" w:hAnsi="Times New Roman" w:cs="Times New Roman"/>
          <w:sz w:val="24"/>
          <w:szCs w:val="24"/>
          <w:lang w:val="en-US"/>
        </w:rPr>
        <w:t>e</w:t>
      </w:r>
      <w:r w:rsidRPr="004B3159">
        <w:rPr>
          <w:rFonts w:ascii="Times New Roman" w:hAnsi="Times New Roman" w:cs="Times New Roman"/>
          <w:sz w:val="24"/>
          <w:szCs w:val="24"/>
          <w:lang w:val="en-US"/>
        </w:rPr>
        <w:t xml:space="preserve">ve that </w:t>
      </w:r>
      <w:r>
        <w:rPr>
          <w:rFonts w:ascii="Times New Roman" w:hAnsi="Times New Roman" w:cs="Times New Roman"/>
          <w:sz w:val="24"/>
          <w:szCs w:val="24"/>
          <w:lang w:val="en-US"/>
        </w:rPr>
        <w:t>their</w:t>
      </w:r>
      <w:r w:rsidRPr="004B3159">
        <w:rPr>
          <w:rFonts w:ascii="Times New Roman" w:hAnsi="Times New Roman" w:cs="Times New Roman"/>
          <w:sz w:val="24"/>
          <w:szCs w:val="24"/>
          <w:lang w:val="en-US"/>
        </w:rPr>
        <w:t xml:space="preserve"> human rights have been infringed by the state can apply to the Court. </w:t>
      </w:r>
      <w:r>
        <w:rPr>
          <w:rFonts w:ascii="Times New Roman" w:hAnsi="Times New Roman" w:cs="Times New Roman"/>
          <w:sz w:val="24"/>
          <w:szCs w:val="24"/>
          <w:lang w:val="en-US"/>
        </w:rPr>
        <w:t>However, prior to this,</w:t>
      </w:r>
      <w:r w:rsidRPr="004B3159">
        <w:rPr>
          <w:rFonts w:ascii="Times New Roman" w:hAnsi="Times New Roman" w:cs="Times New Roman"/>
          <w:sz w:val="24"/>
          <w:szCs w:val="24"/>
          <w:lang w:val="en-US"/>
        </w:rPr>
        <w:t xml:space="preserve"> all national remedies have to be exhausted, the application has to be </w:t>
      </w:r>
      <w:r>
        <w:rPr>
          <w:rFonts w:ascii="Times New Roman" w:hAnsi="Times New Roman" w:cs="Times New Roman"/>
          <w:sz w:val="24"/>
          <w:szCs w:val="24"/>
          <w:lang w:val="en-US"/>
        </w:rPr>
        <w:t>submitted</w:t>
      </w:r>
      <w:r w:rsidRPr="004B3159">
        <w:rPr>
          <w:rFonts w:ascii="Times New Roman" w:hAnsi="Times New Roman" w:cs="Times New Roman"/>
          <w:sz w:val="24"/>
          <w:szCs w:val="24"/>
          <w:lang w:val="en-US"/>
        </w:rPr>
        <w:t xml:space="preserve"> within six months  after the final decision </w:t>
      </w:r>
      <w:r>
        <w:rPr>
          <w:rFonts w:ascii="Times New Roman" w:hAnsi="Times New Roman" w:cs="Times New Roman"/>
          <w:sz w:val="24"/>
          <w:szCs w:val="24"/>
          <w:lang w:val="en-US"/>
        </w:rPr>
        <w:t>has</w:t>
      </w:r>
      <w:r w:rsidRPr="004B3159">
        <w:rPr>
          <w:rFonts w:ascii="Times New Roman" w:hAnsi="Times New Roman" w:cs="Times New Roman"/>
          <w:sz w:val="24"/>
          <w:szCs w:val="24"/>
          <w:lang w:val="en-US"/>
        </w:rPr>
        <w:t xml:space="preserve"> </w:t>
      </w:r>
      <w:r>
        <w:rPr>
          <w:rFonts w:ascii="Times New Roman" w:hAnsi="Times New Roman" w:cs="Times New Roman"/>
          <w:sz w:val="24"/>
          <w:szCs w:val="24"/>
          <w:lang w:val="en-US"/>
        </w:rPr>
        <w:t>been reached</w:t>
      </w:r>
      <w:r w:rsidRPr="004B3159">
        <w:rPr>
          <w:rFonts w:ascii="Times New Roman" w:hAnsi="Times New Roman" w:cs="Times New Roman"/>
          <w:sz w:val="24"/>
          <w:szCs w:val="24"/>
          <w:lang w:val="en-US"/>
        </w:rPr>
        <w:t xml:space="preserve"> and the infringement has to be </w:t>
      </w:r>
      <w:r>
        <w:rPr>
          <w:rFonts w:ascii="Times New Roman" w:hAnsi="Times New Roman" w:cs="Times New Roman"/>
          <w:sz w:val="24"/>
          <w:szCs w:val="24"/>
          <w:lang w:val="en-US"/>
        </w:rPr>
        <w:t>committed</w:t>
      </w:r>
      <w:r w:rsidRPr="004B3159">
        <w:rPr>
          <w:rFonts w:ascii="Times New Roman" w:hAnsi="Times New Roman" w:cs="Times New Roman"/>
          <w:sz w:val="24"/>
          <w:szCs w:val="24"/>
          <w:lang w:val="en-US"/>
        </w:rPr>
        <w:t xml:space="preserve"> by public authorities</w:t>
      </w:r>
      <w:r w:rsidRPr="004B3159">
        <w:rPr>
          <w:rFonts w:ascii="Times New Roman" w:hAnsi="Times New Roman" w:cs="Times New Roman"/>
          <w:sz w:val="24"/>
          <w:vertAlign w:val="superscript"/>
          <w:lang w:val="en-US"/>
        </w:rPr>
        <w:footnoteReference w:id="12"/>
      </w:r>
      <w:r w:rsidRPr="004B3159">
        <w:rPr>
          <w:rFonts w:ascii="Times New Roman" w:hAnsi="Times New Roman" w:cs="Times New Roman"/>
          <w:sz w:val="24"/>
          <w:szCs w:val="24"/>
          <w:lang w:val="en-US"/>
        </w:rPr>
        <w:t>.</w:t>
      </w:r>
    </w:p>
    <w:p w:rsidR="009962E3" w:rsidRPr="004B3159" w:rsidRDefault="009962E3" w:rsidP="004B3159">
      <w:pPr>
        <w:tabs>
          <w:tab w:val="num" w:pos="2160"/>
          <w:tab w:val="num" w:pos="288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Although the path to the Court is sometimes very long, </w:t>
      </w:r>
      <w:r>
        <w:rPr>
          <w:rFonts w:ascii="Times New Roman" w:hAnsi="Times New Roman" w:cs="Times New Roman"/>
          <w:sz w:val="24"/>
          <w:szCs w:val="24"/>
          <w:lang w:val="en-US"/>
        </w:rPr>
        <w:t>and</w:t>
      </w:r>
      <w:r w:rsidRPr="004B3159">
        <w:rPr>
          <w:rFonts w:ascii="Times New Roman" w:hAnsi="Times New Roman" w:cs="Times New Roman"/>
          <w:sz w:val="24"/>
          <w:szCs w:val="24"/>
          <w:lang w:val="en-US"/>
        </w:rPr>
        <w:t xml:space="preserve"> could take several years from the moment when the human right was infringed </w:t>
      </w:r>
      <w:r>
        <w:rPr>
          <w:rFonts w:ascii="Times New Roman" w:hAnsi="Times New Roman" w:cs="Times New Roman"/>
          <w:sz w:val="24"/>
          <w:szCs w:val="24"/>
          <w:lang w:val="en-US"/>
        </w:rPr>
        <w:t xml:space="preserve">until </w:t>
      </w:r>
      <w:r w:rsidRPr="004B3159">
        <w:rPr>
          <w:rFonts w:ascii="Times New Roman" w:hAnsi="Times New Roman" w:cs="Times New Roman"/>
          <w:sz w:val="24"/>
          <w:szCs w:val="24"/>
          <w:lang w:val="en-US"/>
        </w:rPr>
        <w:t xml:space="preserve">the application </w:t>
      </w:r>
      <w:r>
        <w:rPr>
          <w:rFonts w:ascii="Times New Roman" w:hAnsi="Times New Roman" w:cs="Times New Roman"/>
          <w:sz w:val="24"/>
          <w:szCs w:val="24"/>
          <w:lang w:val="en-US"/>
        </w:rPr>
        <w:t xml:space="preserve">is submitted </w:t>
      </w:r>
      <w:r w:rsidRPr="004B3159">
        <w:rPr>
          <w:rFonts w:ascii="Times New Roman" w:hAnsi="Times New Roman" w:cs="Times New Roman"/>
          <w:sz w:val="24"/>
          <w:szCs w:val="24"/>
          <w:lang w:val="en-US"/>
        </w:rPr>
        <w:t xml:space="preserve">to the </w:t>
      </w:r>
      <w:r>
        <w:rPr>
          <w:rFonts w:ascii="Times New Roman" w:hAnsi="Times New Roman" w:cs="Times New Roman"/>
          <w:sz w:val="24"/>
          <w:szCs w:val="24"/>
          <w:lang w:val="en-US"/>
        </w:rPr>
        <w:t>C</w:t>
      </w:r>
      <w:r w:rsidRPr="004B3159">
        <w:rPr>
          <w:rFonts w:ascii="Times New Roman" w:hAnsi="Times New Roman" w:cs="Times New Roman"/>
          <w:sz w:val="24"/>
          <w:szCs w:val="24"/>
          <w:lang w:val="en-US"/>
        </w:rPr>
        <w:t xml:space="preserve">ourt, it is </w:t>
      </w:r>
      <w:r>
        <w:rPr>
          <w:rFonts w:ascii="Times New Roman" w:hAnsi="Times New Roman" w:cs="Times New Roman"/>
          <w:sz w:val="24"/>
          <w:szCs w:val="24"/>
          <w:lang w:val="en-US"/>
        </w:rPr>
        <w:t xml:space="preserve">still </w:t>
      </w:r>
      <w:r w:rsidRPr="004B3159">
        <w:rPr>
          <w:rFonts w:ascii="Times New Roman" w:hAnsi="Times New Roman" w:cs="Times New Roman"/>
          <w:sz w:val="24"/>
          <w:szCs w:val="24"/>
          <w:lang w:val="en-US"/>
        </w:rPr>
        <w:t>worth applying. The decision of the Court is binding for the state in question and whoever wins the case is entitled to r</w:t>
      </w:r>
      <w:r w:rsidRPr="00390ABE">
        <w:rPr>
          <w:rFonts w:ascii="Times New Roman" w:hAnsi="Times New Roman" w:cs="Times New Roman"/>
          <w:sz w:val="24"/>
          <w:szCs w:val="24"/>
          <w:lang w:val="en-US"/>
        </w:rPr>
        <w:t>eimbursement of costs and expenses. The Committee of Ministers is responsible for verifying whether the state has taken adequate remedial measures to comply with the obligations of the judgment. Very often, the side effects of the Court</w:t>
      </w:r>
      <w:r>
        <w:rPr>
          <w:rFonts w:ascii="Times New Roman" w:hAnsi="Times New Roman" w:cs="Times New Roman"/>
          <w:sz w:val="24"/>
          <w:szCs w:val="24"/>
          <w:lang w:val="en-US"/>
        </w:rPr>
        <w:t>’</w:t>
      </w:r>
      <w:r w:rsidRPr="00390ABE">
        <w:rPr>
          <w:rFonts w:ascii="Times New Roman" w:hAnsi="Times New Roman" w:cs="Times New Roman"/>
          <w:sz w:val="24"/>
          <w:szCs w:val="24"/>
          <w:lang w:val="en-US"/>
        </w:rPr>
        <w:t>s decision are modification of the national legislation, development of the ju</w:t>
      </w:r>
      <w:r>
        <w:rPr>
          <w:rFonts w:ascii="Times New Roman" w:hAnsi="Times New Roman" w:cs="Times New Roman"/>
          <w:sz w:val="24"/>
          <w:szCs w:val="24"/>
          <w:lang w:val="en-US"/>
        </w:rPr>
        <w:t>dicial system</w:t>
      </w:r>
      <w:r w:rsidRPr="00390ABE">
        <w:rPr>
          <w:rFonts w:ascii="Times New Roman" w:hAnsi="Times New Roman" w:cs="Times New Roman"/>
          <w:sz w:val="24"/>
          <w:szCs w:val="24"/>
          <w:lang w:val="en-US"/>
        </w:rPr>
        <w:t xml:space="preserve"> and change in the prosecution policy.</w:t>
      </w:r>
    </w:p>
    <w:p w:rsidR="009962E3" w:rsidRPr="004B3159" w:rsidRDefault="009962E3" w:rsidP="004B3159">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The Court has a very difficult task when</w:t>
      </w:r>
      <w:r>
        <w:rPr>
          <w:rFonts w:ascii="Times New Roman" w:hAnsi="Times New Roman" w:cs="Times New Roman"/>
          <w:sz w:val="24"/>
          <w:szCs w:val="24"/>
          <w:lang w:val="en-US"/>
        </w:rPr>
        <w:t>ever</w:t>
      </w:r>
      <w:r w:rsidRPr="004B3159">
        <w:rPr>
          <w:rFonts w:ascii="Times New Roman" w:hAnsi="Times New Roman" w:cs="Times New Roman"/>
          <w:sz w:val="24"/>
          <w:szCs w:val="24"/>
          <w:lang w:val="en-US"/>
        </w:rPr>
        <w:t xml:space="preserve"> measuring </w:t>
      </w:r>
      <w:r>
        <w:rPr>
          <w:rFonts w:ascii="Times New Roman" w:hAnsi="Times New Roman" w:cs="Times New Roman"/>
          <w:sz w:val="24"/>
          <w:szCs w:val="24"/>
          <w:lang w:val="en-US"/>
        </w:rPr>
        <w:t>if</w:t>
      </w:r>
      <w:r w:rsidRPr="004B3159">
        <w:rPr>
          <w:rFonts w:ascii="Times New Roman" w:hAnsi="Times New Roman" w:cs="Times New Roman"/>
          <w:sz w:val="24"/>
          <w:szCs w:val="24"/>
          <w:lang w:val="en-US"/>
        </w:rPr>
        <w:t xml:space="preserve"> there was “hate speech” in a concrete case. Therefore, </w:t>
      </w:r>
      <w:r>
        <w:rPr>
          <w:rFonts w:ascii="Times New Roman" w:hAnsi="Times New Roman" w:cs="Times New Roman"/>
          <w:sz w:val="24"/>
          <w:szCs w:val="24"/>
          <w:lang w:val="en-US"/>
        </w:rPr>
        <w:t>with</w:t>
      </w:r>
      <w:r w:rsidRPr="004B3159">
        <w:rPr>
          <w:rFonts w:ascii="Times New Roman" w:hAnsi="Times New Roman" w:cs="Times New Roman"/>
          <w:sz w:val="24"/>
          <w:szCs w:val="24"/>
          <w:lang w:val="en-US"/>
        </w:rPr>
        <w:t xml:space="preserve"> time, the Court has developed three most common responses to the “hate speech” issue:</w:t>
      </w:r>
    </w:p>
    <w:p w:rsidR="009962E3" w:rsidRPr="004B3159" w:rsidRDefault="009962E3" w:rsidP="004B3159">
      <w:pPr>
        <w:numPr>
          <w:ilvl w:val="0"/>
          <w:numId w:val="31"/>
        </w:num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Hate speech can be justified by reference to the context, </w:t>
      </w:r>
    </w:p>
    <w:p w:rsidR="009962E3" w:rsidRPr="004B3159" w:rsidRDefault="009962E3" w:rsidP="004B3159">
      <w:pPr>
        <w:numPr>
          <w:ilvl w:val="0"/>
          <w:numId w:val="31"/>
        </w:num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Hate speech cannot be justified, </w:t>
      </w:r>
    </w:p>
    <w:p w:rsidR="009962E3" w:rsidRPr="004B3159" w:rsidRDefault="009962E3" w:rsidP="004B3159">
      <w:pPr>
        <w:numPr>
          <w:ilvl w:val="0"/>
          <w:numId w:val="31"/>
        </w:num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rPr>
        <w:t>Total absence of hate speech</w:t>
      </w:r>
      <w:r w:rsidRPr="004B3159">
        <w:rPr>
          <w:rFonts w:ascii="Times New Roman" w:hAnsi="Times New Roman" w:cs="Times New Roman"/>
          <w:sz w:val="24"/>
          <w:vertAlign w:val="superscript"/>
        </w:rPr>
        <w:footnoteReference w:id="13"/>
      </w:r>
      <w:r w:rsidRPr="004B3159">
        <w:rPr>
          <w:rFonts w:ascii="Times New Roman" w:hAnsi="Times New Roman" w:cs="Times New Roman"/>
          <w:sz w:val="24"/>
          <w:szCs w:val="24"/>
        </w:rPr>
        <w:t>.</w:t>
      </w:r>
    </w:p>
    <w:p w:rsidR="009962E3" w:rsidRPr="004B3159" w:rsidRDefault="009962E3" w:rsidP="00FD522D">
      <w:pPr>
        <w:tabs>
          <w:tab w:val="num" w:pos="144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In measuring hate speech</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the Court measures several various aspects. The first one is the balance between the context of the expression and its content. Furthermore, the Court judges the applicant’s function and his/her role in society, where the expression </w:t>
      </w:r>
      <w:r>
        <w:rPr>
          <w:rFonts w:ascii="Times New Roman" w:hAnsi="Times New Roman" w:cs="Times New Roman"/>
          <w:sz w:val="24"/>
          <w:szCs w:val="24"/>
          <w:lang w:val="en-US"/>
        </w:rPr>
        <w:t xml:space="preserve">was </w:t>
      </w:r>
      <w:r w:rsidRPr="004B3159">
        <w:rPr>
          <w:rFonts w:ascii="Times New Roman" w:hAnsi="Times New Roman" w:cs="Times New Roman"/>
          <w:sz w:val="24"/>
          <w:szCs w:val="24"/>
          <w:lang w:val="en-US"/>
        </w:rPr>
        <w:t xml:space="preserve">made, in which form. Some of the judges of the Court have openly given greater importance to context </w:t>
      </w:r>
      <w:r>
        <w:rPr>
          <w:rFonts w:ascii="Times New Roman" w:hAnsi="Times New Roman" w:cs="Times New Roman"/>
          <w:sz w:val="24"/>
          <w:szCs w:val="24"/>
          <w:lang w:val="en-US"/>
        </w:rPr>
        <w:t xml:space="preserve">rather </w:t>
      </w:r>
      <w:r w:rsidRPr="004B3159">
        <w:rPr>
          <w:rFonts w:ascii="Times New Roman" w:hAnsi="Times New Roman" w:cs="Times New Roman"/>
          <w:sz w:val="24"/>
          <w:szCs w:val="24"/>
          <w:lang w:val="en-US"/>
        </w:rPr>
        <w:t>than to content when me</w:t>
      </w:r>
      <w:r>
        <w:rPr>
          <w:rFonts w:ascii="Times New Roman" w:hAnsi="Times New Roman" w:cs="Times New Roman"/>
          <w:sz w:val="24"/>
          <w:szCs w:val="24"/>
          <w:lang w:val="en-US"/>
        </w:rPr>
        <w:t>asuring</w:t>
      </w:r>
      <w:r w:rsidRPr="004B3159">
        <w:rPr>
          <w:rFonts w:ascii="Times New Roman" w:hAnsi="Times New Roman" w:cs="Times New Roman"/>
          <w:sz w:val="24"/>
          <w:szCs w:val="24"/>
          <w:lang w:val="en-US"/>
        </w:rPr>
        <w:t xml:space="preserve"> “hate speech”</w:t>
      </w:r>
      <w:r w:rsidRPr="004B3159">
        <w:rPr>
          <w:rFonts w:ascii="Times New Roman" w:hAnsi="Times New Roman" w:cs="Times New Roman"/>
          <w:sz w:val="24"/>
          <w:vertAlign w:val="superscript"/>
          <w:lang w:val="en-US"/>
        </w:rPr>
        <w:footnoteReference w:id="14"/>
      </w:r>
      <w:r w:rsidRPr="004B3159">
        <w:rPr>
          <w:rFonts w:ascii="Times New Roman" w:hAnsi="Times New Roman" w:cs="Times New Roman"/>
          <w:sz w:val="24"/>
          <w:szCs w:val="24"/>
          <w:lang w:val="en-US"/>
        </w:rPr>
        <w:t xml:space="preserve"> However, in all cases</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the ECHR suggest</w:t>
      </w:r>
      <w:r>
        <w:rPr>
          <w:rFonts w:ascii="Times New Roman" w:hAnsi="Times New Roman" w:cs="Times New Roman"/>
          <w:sz w:val="24"/>
          <w:szCs w:val="24"/>
          <w:lang w:val="en-US"/>
        </w:rPr>
        <w:t>s</w:t>
      </w:r>
      <w:r w:rsidRPr="004B3159">
        <w:rPr>
          <w:rFonts w:ascii="Times New Roman" w:hAnsi="Times New Roman" w:cs="Times New Roman"/>
          <w:sz w:val="24"/>
          <w:szCs w:val="24"/>
          <w:lang w:val="en-US"/>
        </w:rPr>
        <w:t xml:space="preserve"> that </w:t>
      </w:r>
      <w:r w:rsidRPr="004B3159">
        <w:rPr>
          <w:rFonts w:ascii="Times New Roman" w:hAnsi="Times New Roman" w:cs="Times New Roman"/>
          <w:b/>
          <w:bCs/>
          <w:sz w:val="24"/>
          <w:szCs w:val="24"/>
          <w:lang w:val="en-US"/>
        </w:rPr>
        <w:t xml:space="preserve">spreading hate speech using mass media </w:t>
      </w:r>
      <w:r>
        <w:rPr>
          <w:rFonts w:ascii="Times New Roman" w:hAnsi="Times New Roman" w:cs="Times New Roman"/>
          <w:b/>
          <w:bCs/>
          <w:sz w:val="24"/>
          <w:szCs w:val="24"/>
          <w:lang w:val="en-US"/>
        </w:rPr>
        <w:t>may</w:t>
      </w:r>
      <w:r w:rsidRPr="004B3159">
        <w:rPr>
          <w:rFonts w:ascii="Times New Roman" w:hAnsi="Times New Roman" w:cs="Times New Roman"/>
          <w:b/>
          <w:bCs/>
          <w:sz w:val="24"/>
          <w:szCs w:val="24"/>
          <w:lang w:val="en-US"/>
        </w:rPr>
        <w:t xml:space="preserve"> be more problematic</w:t>
      </w:r>
      <w:r w:rsidRPr="004B3159">
        <w:rPr>
          <w:rFonts w:ascii="Times New Roman" w:hAnsi="Times New Roman" w:cs="Times New Roman"/>
          <w:b/>
          <w:bCs/>
          <w:sz w:val="24"/>
          <w:vertAlign w:val="superscript"/>
          <w:lang w:val="en-US"/>
        </w:rPr>
        <w:footnoteReference w:id="15"/>
      </w:r>
      <w:r w:rsidRPr="004B3159">
        <w:rPr>
          <w:rFonts w:ascii="Times New Roman" w:hAnsi="Times New Roman" w:cs="Times New Roman"/>
          <w:b/>
          <w:bCs/>
          <w:sz w:val="24"/>
          <w:szCs w:val="24"/>
          <w:lang w:val="en-US"/>
        </w:rPr>
        <w:t xml:space="preserve"> </w:t>
      </w:r>
      <w:r w:rsidRPr="004B3159">
        <w:rPr>
          <w:rFonts w:ascii="Times New Roman" w:hAnsi="Times New Roman" w:cs="Times New Roman"/>
          <w:sz w:val="24"/>
          <w:szCs w:val="24"/>
          <w:lang w:val="en-US"/>
        </w:rPr>
        <w:t>than hate speech in poems, books, posters, leaflets, etc.</w:t>
      </w:r>
    </w:p>
    <w:p w:rsidR="009962E3" w:rsidRPr="004B3159" w:rsidRDefault="009962E3" w:rsidP="00FD522D">
      <w:pPr>
        <w:tabs>
          <w:tab w:val="num" w:pos="72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When it comes to the distinction between politician</w:t>
      </w:r>
      <w:r>
        <w:rPr>
          <w:rFonts w:ascii="Times New Roman" w:hAnsi="Times New Roman" w:cs="Times New Roman"/>
          <w:sz w:val="24"/>
          <w:szCs w:val="24"/>
          <w:lang w:val="en-US"/>
        </w:rPr>
        <w:t>s</w:t>
      </w:r>
      <w:r w:rsidRPr="004B3159">
        <w:rPr>
          <w:rFonts w:ascii="Times New Roman" w:hAnsi="Times New Roman" w:cs="Times New Roman"/>
          <w:sz w:val="24"/>
          <w:szCs w:val="24"/>
          <w:lang w:val="en-US"/>
        </w:rPr>
        <w:t xml:space="preserve"> and private individual</w:t>
      </w:r>
      <w:r>
        <w:rPr>
          <w:rFonts w:ascii="Times New Roman" w:hAnsi="Times New Roman" w:cs="Times New Roman"/>
          <w:sz w:val="24"/>
          <w:szCs w:val="24"/>
          <w:lang w:val="en-US"/>
        </w:rPr>
        <w:t>s</w:t>
      </w:r>
      <w:r w:rsidRPr="004B3159">
        <w:rPr>
          <w:rFonts w:ascii="Times New Roman" w:hAnsi="Times New Roman" w:cs="Times New Roman"/>
          <w:sz w:val="24"/>
          <w:szCs w:val="24"/>
          <w:lang w:val="en-US"/>
        </w:rPr>
        <w:t>, the Court</w:t>
      </w:r>
      <w:r>
        <w:rPr>
          <w:rFonts w:ascii="Times New Roman" w:hAnsi="Times New Roman" w:cs="Times New Roman"/>
          <w:sz w:val="24"/>
          <w:szCs w:val="24"/>
          <w:lang w:val="en-US"/>
        </w:rPr>
        <w:t>’s</w:t>
      </w:r>
      <w:r w:rsidRPr="004B3159">
        <w:rPr>
          <w:rFonts w:ascii="Times New Roman" w:hAnsi="Times New Roman" w:cs="Times New Roman"/>
          <w:sz w:val="24"/>
          <w:szCs w:val="24"/>
          <w:lang w:val="en-US"/>
        </w:rPr>
        <w:t xml:space="preserve"> standpoint </w:t>
      </w:r>
      <w:r>
        <w:rPr>
          <w:rFonts w:ascii="Times New Roman" w:hAnsi="Times New Roman" w:cs="Times New Roman"/>
          <w:sz w:val="24"/>
          <w:szCs w:val="24"/>
          <w:lang w:val="en-US"/>
        </w:rPr>
        <w:t xml:space="preserve">is </w:t>
      </w:r>
      <w:r w:rsidRPr="004B3159">
        <w:rPr>
          <w:rFonts w:ascii="Times New Roman" w:hAnsi="Times New Roman" w:cs="Times New Roman"/>
          <w:sz w:val="24"/>
          <w:szCs w:val="24"/>
          <w:lang w:val="en-US"/>
        </w:rPr>
        <w:t>that “the limits of acceptable criticism are wider when the target is a politician than if it is a private individual”</w:t>
      </w:r>
      <w:r w:rsidRPr="004B3159">
        <w:rPr>
          <w:rFonts w:ascii="Times New Roman" w:hAnsi="Times New Roman" w:cs="Times New Roman"/>
          <w:sz w:val="24"/>
          <w:vertAlign w:val="superscript"/>
          <w:lang w:val="en-US"/>
        </w:rPr>
        <w:footnoteReference w:id="16"/>
      </w:r>
      <w:r w:rsidRPr="004B3159">
        <w:rPr>
          <w:rFonts w:ascii="Times New Roman" w:hAnsi="Times New Roman" w:cs="Times New Roman"/>
          <w:sz w:val="24"/>
          <w:szCs w:val="24"/>
          <w:lang w:val="en-US"/>
        </w:rPr>
        <w:t xml:space="preserve">. Therefore, politicians have to show </w:t>
      </w:r>
      <w:r>
        <w:rPr>
          <w:rFonts w:ascii="Times New Roman" w:hAnsi="Times New Roman" w:cs="Times New Roman"/>
          <w:sz w:val="24"/>
          <w:szCs w:val="24"/>
          <w:lang w:val="en-US"/>
        </w:rPr>
        <w:t>a</w:t>
      </w:r>
      <w:r w:rsidRPr="004B3159">
        <w:rPr>
          <w:rFonts w:ascii="Times New Roman" w:hAnsi="Times New Roman" w:cs="Times New Roman"/>
          <w:sz w:val="24"/>
          <w:szCs w:val="24"/>
          <w:lang w:val="en-US"/>
        </w:rPr>
        <w:t>greater degree of tolerance f</w:t>
      </w:r>
      <w:r>
        <w:rPr>
          <w:rFonts w:ascii="Times New Roman" w:hAnsi="Times New Roman" w:cs="Times New Roman"/>
          <w:sz w:val="24"/>
          <w:szCs w:val="24"/>
          <w:lang w:val="en-US"/>
        </w:rPr>
        <w:t xml:space="preserve">or </w:t>
      </w:r>
      <w:r w:rsidRPr="004B31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criticism they </w:t>
      </w:r>
      <w:r w:rsidRPr="004B3159">
        <w:rPr>
          <w:rFonts w:ascii="Times New Roman" w:hAnsi="Times New Roman" w:cs="Times New Roman"/>
          <w:sz w:val="24"/>
          <w:szCs w:val="24"/>
          <w:lang w:val="en-US"/>
        </w:rPr>
        <w:t xml:space="preserve">receive </w:t>
      </w:r>
      <w:r>
        <w:rPr>
          <w:rFonts w:ascii="Times New Roman" w:hAnsi="Times New Roman" w:cs="Times New Roman"/>
          <w:sz w:val="24"/>
          <w:szCs w:val="24"/>
          <w:lang w:val="en-US"/>
        </w:rPr>
        <w:t>from</w:t>
      </w:r>
      <w:r w:rsidRPr="004B3159">
        <w:rPr>
          <w:rFonts w:ascii="Times New Roman" w:hAnsi="Times New Roman" w:cs="Times New Roman"/>
          <w:sz w:val="24"/>
          <w:szCs w:val="24"/>
          <w:lang w:val="en-US"/>
        </w:rPr>
        <w:t xml:space="preserve"> journalists and </w:t>
      </w:r>
      <w:r>
        <w:rPr>
          <w:rFonts w:ascii="Times New Roman" w:hAnsi="Times New Roman" w:cs="Times New Roman"/>
          <w:sz w:val="24"/>
          <w:szCs w:val="24"/>
          <w:lang w:val="en-US"/>
        </w:rPr>
        <w:t xml:space="preserve">the </w:t>
      </w:r>
      <w:r w:rsidRPr="004B3159">
        <w:rPr>
          <w:rFonts w:ascii="Times New Roman" w:hAnsi="Times New Roman" w:cs="Times New Roman"/>
          <w:sz w:val="24"/>
          <w:szCs w:val="24"/>
          <w:lang w:val="en-US"/>
        </w:rPr>
        <w:t>general public.</w:t>
      </w:r>
    </w:p>
    <w:p w:rsidR="009962E3" w:rsidRPr="004B3159" w:rsidRDefault="009962E3" w:rsidP="00FD522D">
      <w:pPr>
        <w:tabs>
          <w:tab w:val="num" w:pos="72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The Court’s stand regarding the “hate speech” cases that involve religious feelings is the following: </w:t>
      </w:r>
      <w:r w:rsidRPr="00FD522D">
        <w:rPr>
          <w:rFonts w:ascii="Times New Roman" w:hAnsi="Times New Roman" w:cs="Times New Roman"/>
          <w:sz w:val="24"/>
          <w:szCs w:val="24"/>
          <w:lang w:val="en-US"/>
        </w:rPr>
        <w:t>“</w:t>
      </w:r>
      <w:r w:rsidRPr="00FD522D">
        <w:rPr>
          <w:rFonts w:ascii="Times New Roman" w:hAnsi="Times New Roman" w:cs="Times New Roman"/>
          <w:i/>
          <w:sz w:val="24"/>
          <w:szCs w:val="24"/>
          <w:lang w:val="en-US"/>
        </w:rPr>
        <w:t>those who choose to exercise the freedom to manifest their religion, irrespective of whether they do so as members of a religious majority or a minority, cannot reasonably expect to be exempt from all criticism! They must tolerate and accept the denial by others of their religious beliefs and even the propagation by other of doctrines hostile to their faith</w:t>
      </w:r>
      <w:r w:rsidRPr="00FD522D">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In most of </w:t>
      </w:r>
      <w:r>
        <w:rPr>
          <w:rFonts w:ascii="Times New Roman" w:hAnsi="Times New Roman" w:cs="Times New Roman"/>
          <w:sz w:val="24"/>
          <w:szCs w:val="24"/>
          <w:lang w:val="en-US"/>
        </w:rPr>
        <w:t xml:space="preserve">its </w:t>
      </w:r>
      <w:r w:rsidRPr="004B3159">
        <w:rPr>
          <w:rFonts w:ascii="Times New Roman" w:hAnsi="Times New Roman" w:cs="Times New Roman"/>
          <w:sz w:val="24"/>
          <w:szCs w:val="24"/>
          <w:lang w:val="en-US"/>
        </w:rPr>
        <w:t>judge</w:t>
      </w:r>
      <w:r>
        <w:rPr>
          <w:rFonts w:ascii="Times New Roman" w:hAnsi="Times New Roman" w:cs="Times New Roman"/>
          <w:sz w:val="24"/>
          <w:szCs w:val="24"/>
          <w:lang w:val="en-US"/>
        </w:rPr>
        <w:t>ments</w:t>
      </w:r>
      <w:r w:rsidRPr="004B3159">
        <w:rPr>
          <w:rFonts w:ascii="Times New Roman" w:hAnsi="Times New Roman" w:cs="Times New Roman"/>
          <w:sz w:val="24"/>
          <w:szCs w:val="24"/>
          <w:lang w:val="en-US"/>
        </w:rPr>
        <w:t>, the Court has ruled that “</w:t>
      </w:r>
      <w:r w:rsidRPr="004B3159">
        <w:rPr>
          <w:rFonts w:ascii="Times New Roman" w:hAnsi="Times New Roman" w:cs="Times New Roman"/>
          <w:bCs/>
          <w:sz w:val="24"/>
          <w:szCs w:val="24"/>
          <w:lang w:val="en-US"/>
        </w:rPr>
        <w:t>there was no violation of Article 10</w:t>
      </w:r>
      <w:r w:rsidRPr="004B3159">
        <w:rPr>
          <w:rFonts w:ascii="Times New Roman" w:hAnsi="Times New Roman" w:cs="Times New Roman"/>
          <w:sz w:val="24"/>
          <w:szCs w:val="24"/>
          <w:lang w:val="en-US"/>
        </w:rPr>
        <w:t xml:space="preserve">” and considered that </w:t>
      </w:r>
      <w:r w:rsidRPr="004B3159">
        <w:rPr>
          <w:rFonts w:ascii="Times New Roman" w:hAnsi="Times New Roman" w:cs="Times New Roman"/>
          <w:bCs/>
          <w:sz w:val="24"/>
          <w:szCs w:val="24"/>
          <w:lang w:val="en-US"/>
        </w:rPr>
        <w:t xml:space="preserve">the restriction </w:t>
      </w:r>
      <w:r>
        <w:rPr>
          <w:rFonts w:ascii="Times New Roman" w:hAnsi="Times New Roman" w:cs="Times New Roman"/>
          <w:bCs/>
          <w:sz w:val="24"/>
          <w:szCs w:val="24"/>
          <w:lang w:val="en-US"/>
        </w:rPr>
        <w:t xml:space="preserve">of </w:t>
      </w:r>
      <w:r w:rsidRPr="004B3159">
        <w:rPr>
          <w:rFonts w:ascii="Times New Roman" w:hAnsi="Times New Roman" w:cs="Times New Roman"/>
          <w:bCs/>
          <w:sz w:val="24"/>
          <w:szCs w:val="24"/>
          <w:lang w:val="en-US"/>
        </w:rPr>
        <w:t xml:space="preserve">freedom of expression </w:t>
      </w:r>
      <w:r w:rsidRPr="004B3159">
        <w:rPr>
          <w:rFonts w:ascii="Times New Roman" w:hAnsi="Times New Roman" w:cs="Times New Roman"/>
          <w:sz w:val="24"/>
          <w:szCs w:val="24"/>
          <w:lang w:val="en-US"/>
        </w:rPr>
        <w:t xml:space="preserve">by the state in question </w:t>
      </w:r>
      <w:r w:rsidRPr="004B3159">
        <w:rPr>
          <w:rFonts w:ascii="Times New Roman" w:hAnsi="Times New Roman" w:cs="Times New Roman"/>
          <w:bCs/>
          <w:sz w:val="24"/>
          <w:szCs w:val="24"/>
          <w:lang w:val="en-US"/>
        </w:rPr>
        <w:t>was necessary to protect</w:t>
      </w:r>
      <w:r>
        <w:rPr>
          <w:rFonts w:ascii="Times New Roman" w:hAnsi="Times New Roman" w:cs="Times New Roman"/>
          <w:bCs/>
          <w:sz w:val="24"/>
          <w:szCs w:val="24"/>
          <w:lang w:val="en-US"/>
        </w:rPr>
        <w:t xml:space="preserve"> the</w:t>
      </w:r>
      <w:r w:rsidRPr="004B3159">
        <w:rPr>
          <w:rFonts w:ascii="Times New Roman" w:hAnsi="Times New Roman" w:cs="Times New Roman"/>
          <w:bCs/>
          <w:sz w:val="24"/>
          <w:szCs w:val="24"/>
          <w:lang w:val="en-US"/>
        </w:rPr>
        <w:t xml:space="preserve"> rights of others. </w:t>
      </w:r>
      <w:r w:rsidRPr="004B3159">
        <w:rPr>
          <w:rFonts w:ascii="Times New Roman" w:hAnsi="Times New Roman" w:cs="Times New Roman"/>
          <w:sz w:val="24"/>
          <w:szCs w:val="24"/>
          <w:lang w:val="en-US"/>
        </w:rPr>
        <w:t xml:space="preserve">In other cases, ECHR </w:t>
      </w:r>
      <w:r>
        <w:rPr>
          <w:rFonts w:ascii="Times New Roman" w:hAnsi="Times New Roman" w:cs="Times New Roman"/>
          <w:sz w:val="24"/>
          <w:szCs w:val="24"/>
          <w:lang w:val="en-US"/>
        </w:rPr>
        <w:t xml:space="preserve">has </w:t>
      </w:r>
      <w:r w:rsidRPr="004B3159">
        <w:rPr>
          <w:rFonts w:ascii="Times New Roman" w:hAnsi="Times New Roman" w:cs="Times New Roman"/>
          <w:sz w:val="24"/>
          <w:szCs w:val="24"/>
          <w:lang w:val="en-US"/>
        </w:rPr>
        <w:t xml:space="preserve">found no violation of freedom of expression and accepted that </w:t>
      </w:r>
      <w:r>
        <w:rPr>
          <w:rFonts w:ascii="Times New Roman" w:hAnsi="Times New Roman" w:cs="Times New Roman"/>
          <w:sz w:val="24"/>
          <w:szCs w:val="24"/>
          <w:lang w:val="en-US"/>
        </w:rPr>
        <w:t>certain</w:t>
      </w:r>
      <w:r w:rsidRPr="004B3159">
        <w:rPr>
          <w:rFonts w:ascii="Times New Roman" w:hAnsi="Times New Roman" w:cs="Times New Roman"/>
          <w:bCs/>
          <w:sz w:val="24"/>
          <w:szCs w:val="24"/>
          <w:lang w:val="en-US"/>
        </w:rPr>
        <w:t xml:space="preserve"> expressions which m</w:t>
      </w:r>
      <w:r>
        <w:rPr>
          <w:rFonts w:ascii="Times New Roman" w:hAnsi="Times New Roman" w:cs="Times New Roman"/>
          <w:bCs/>
          <w:sz w:val="24"/>
          <w:szCs w:val="24"/>
          <w:lang w:val="en-US"/>
        </w:rPr>
        <w:t>ay have been</w:t>
      </w:r>
      <w:r w:rsidRPr="004B3159">
        <w:rPr>
          <w:rFonts w:ascii="Times New Roman" w:hAnsi="Times New Roman" w:cs="Times New Roman"/>
          <w:bCs/>
          <w:sz w:val="24"/>
          <w:szCs w:val="24"/>
          <w:lang w:val="en-US"/>
        </w:rPr>
        <w:t xml:space="preserve"> “shocking” or “offensive” should not be restricted as long as</w:t>
      </w:r>
      <w:r w:rsidRPr="004B3159">
        <w:rPr>
          <w:rFonts w:ascii="Times New Roman" w:hAnsi="Times New Roman" w:cs="Times New Roman"/>
          <w:sz w:val="24"/>
          <w:szCs w:val="24"/>
          <w:lang w:val="en-US"/>
        </w:rPr>
        <w:t xml:space="preserve"> they were not gratuitously offensive, the insulting tone did not target directly specific believers, the expressions were insulting neither </w:t>
      </w:r>
      <w:r>
        <w:rPr>
          <w:rFonts w:ascii="Times New Roman" w:hAnsi="Times New Roman" w:cs="Times New Roman"/>
          <w:sz w:val="24"/>
          <w:szCs w:val="24"/>
          <w:lang w:val="en-US"/>
        </w:rPr>
        <w:t>to</w:t>
      </w:r>
      <w:r w:rsidRPr="004B31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4B3159">
        <w:rPr>
          <w:rFonts w:ascii="Times New Roman" w:hAnsi="Times New Roman" w:cs="Times New Roman"/>
          <w:sz w:val="24"/>
          <w:szCs w:val="24"/>
          <w:lang w:val="en-US"/>
        </w:rPr>
        <w:t xml:space="preserve">believers nor with respect to </w:t>
      </w:r>
      <w:r>
        <w:rPr>
          <w:rFonts w:ascii="Times New Roman" w:hAnsi="Times New Roman" w:cs="Times New Roman"/>
          <w:sz w:val="24"/>
          <w:szCs w:val="24"/>
          <w:lang w:val="en-US"/>
        </w:rPr>
        <w:t xml:space="preserve">the </w:t>
      </w:r>
      <w:r w:rsidRPr="004B3159">
        <w:rPr>
          <w:rFonts w:ascii="Times New Roman" w:hAnsi="Times New Roman" w:cs="Times New Roman"/>
          <w:sz w:val="24"/>
          <w:szCs w:val="24"/>
          <w:lang w:val="en-US"/>
        </w:rPr>
        <w:t xml:space="preserve">sacred symbols, they did not </w:t>
      </w:r>
      <w:r>
        <w:rPr>
          <w:rFonts w:ascii="Times New Roman" w:hAnsi="Times New Roman" w:cs="Times New Roman"/>
          <w:sz w:val="24"/>
          <w:szCs w:val="24"/>
          <w:lang w:val="en-US"/>
        </w:rPr>
        <w:t>infringe</w:t>
      </w:r>
      <w:r w:rsidRPr="004B31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4B3159">
        <w:rPr>
          <w:rFonts w:ascii="Times New Roman" w:hAnsi="Times New Roman" w:cs="Times New Roman"/>
          <w:sz w:val="24"/>
          <w:szCs w:val="24"/>
          <w:lang w:val="en-US"/>
        </w:rPr>
        <w:t>believers’ rights to manifest or practice their religion and did not denigrate their faith and</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in particular, did not incite disrespect, hatred or violence.</w:t>
      </w:r>
    </w:p>
    <w:p w:rsidR="009962E3" w:rsidRPr="004B3159" w:rsidRDefault="009962E3" w:rsidP="00FD522D">
      <w:pPr>
        <w:tabs>
          <w:tab w:val="num" w:pos="72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rPr>
        <w:t xml:space="preserve">The Court has ruled that restrictions to freedom of expression are only acceptable “if they respond to a </w:t>
      </w:r>
      <w:r>
        <w:rPr>
          <w:rFonts w:ascii="Times New Roman" w:hAnsi="Times New Roman" w:cs="Times New Roman"/>
          <w:sz w:val="24"/>
          <w:szCs w:val="24"/>
        </w:rPr>
        <w:t>‘</w:t>
      </w:r>
      <w:r w:rsidRPr="004B3159">
        <w:rPr>
          <w:rFonts w:ascii="Times New Roman" w:hAnsi="Times New Roman" w:cs="Times New Roman"/>
          <w:bCs/>
          <w:sz w:val="24"/>
          <w:szCs w:val="24"/>
        </w:rPr>
        <w:t>pressing social need</w:t>
      </w:r>
      <w:r>
        <w:rPr>
          <w:rFonts w:ascii="Times New Roman" w:hAnsi="Times New Roman" w:cs="Times New Roman"/>
          <w:sz w:val="24"/>
          <w:szCs w:val="24"/>
        </w:rPr>
        <w:t>’,</w:t>
      </w:r>
      <w:r w:rsidRPr="004B3159">
        <w:rPr>
          <w:rFonts w:ascii="Times New Roman" w:hAnsi="Times New Roman" w:cs="Times New Roman"/>
          <w:sz w:val="24"/>
          <w:szCs w:val="24"/>
        </w:rPr>
        <w:t xml:space="preserve">” and </w:t>
      </w:r>
      <w:r>
        <w:rPr>
          <w:rFonts w:ascii="Times New Roman" w:hAnsi="Times New Roman" w:cs="Times New Roman"/>
          <w:sz w:val="24"/>
          <w:szCs w:val="24"/>
        </w:rPr>
        <w:t>if</w:t>
      </w:r>
      <w:r w:rsidRPr="004B3159">
        <w:rPr>
          <w:rFonts w:ascii="Times New Roman" w:hAnsi="Times New Roman" w:cs="Times New Roman"/>
          <w:sz w:val="24"/>
          <w:szCs w:val="24"/>
        </w:rPr>
        <w:t xml:space="preserve"> the means used </w:t>
      </w:r>
      <w:r>
        <w:rPr>
          <w:rFonts w:ascii="Times New Roman" w:hAnsi="Times New Roman" w:cs="Times New Roman"/>
          <w:sz w:val="24"/>
          <w:szCs w:val="24"/>
        </w:rPr>
        <w:t>are</w:t>
      </w:r>
      <w:r w:rsidRPr="004B3159">
        <w:rPr>
          <w:rFonts w:ascii="Times New Roman" w:hAnsi="Times New Roman" w:cs="Times New Roman"/>
          <w:sz w:val="24"/>
          <w:szCs w:val="24"/>
        </w:rPr>
        <w:t xml:space="preserve"> proportionate to the legitimate aim pursued. Nevertheless, it has stated </w:t>
      </w:r>
      <w:r w:rsidRPr="004B3159">
        <w:rPr>
          <w:rFonts w:ascii="Times New Roman" w:hAnsi="Times New Roman" w:cs="Times New Roman"/>
          <w:bCs/>
          <w:sz w:val="24"/>
          <w:szCs w:val="24"/>
        </w:rPr>
        <w:t xml:space="preserve">that national authorities enjoy a certain “margin of appreciation” </w:t>
      </w:r>
      <w:r w:rsidRPr="004B3159">
        <w:rPr>
          <w:rFonts w:ascii="Times New Roman" w:hAnsi="Times New Roman" w:cs="Times New Roman"/>
          <w:sz w:val="24"/>
          <w:szCs w:val="24"/>
        </w:rPr>
        <w:t>to do this, which var</w:t>
      </w:r>
      <w:r>
        <w:rPr>
          <w:rFonts w:ascii="Times New Roman" w:hAnsi="Times New Roman" w:cs="Times New Roman"/>
          <w:sz w:val="24"/>
          <w:szCs w:val="24"/>
        </w:rPr>
        <w:t>ies</w:t>
      </w:r>
      <w:r w:rsidRPr="004B3159">
        <w:rPr>
          <w:rFonts w:ascii="Times New Roman" w:hAnsi="Times New Roman" w:cs="Times New Roman"/>
          <w:sz w:val="24"/>
          <w:szCs w:val="24"/>
        </w:rPr>
        <w:t xml:space="preserve"> from </w:t>
      </w:r>
      <w:r>
        <w:rPr>
          <w:rFonts w:ascii="Times New Roman" w:hAnsi="Times New Roman" w:cs="Times New Roman"/>
          <w:sz w:val="24"/>
          <w:szCs w:val="24"/>
        </w:rPr>
        <w:t>case to</w:t>
      </w:r>
      <w:r w:rsidRPr="004B3159">
        <w:rPr>
          <w:rFonts w:ascii="Times New Roman" w:hAnsi="Times New Roman" w:cs="Times New Roman"/>
          <w:sz w:val="24"/>
          <w:szCs w:val="24"/>
        </w:rPr>
        <w:t xml:space="preserve"> case, and will in any event be supervised by the ECHR. The ECHR has also held that </w:t>
      </w:r>
      <w:r w:rsidRPr="004B3159">
        <w:rPr>
          <w:rFonts w:ascii="Times New Roman" w:hAnsi="Times New Roman" w:cs="Times New Roman"/>
          <w:bCs/>
          <w:sz w:val="24"/>
          <w:szCs w:val="24"/>
        </w:rPr>
        <w:t xml:space="preserve">Article 10 is applicable </w:t>
      </w:r>
      <w:r w:rsidRPr="004B3159">
        <w:rPr>
          <w:rFonts w:ascii="Times New Roman" w:hAnsi="Times New Roman" w:cs="Times New Roman"/>
          <w:sz w:val="24"/>
          <w:szCs w:val="24"/>
        </w:rPr>
        <w:t>not only to "information" or "ideas" that are favourably received or regarded as inoffensive or as a matter of indifference, but also “</w:t>
      </w:r>
      <w:r w:rsidRPr="004B3159">
        <w:rPr>
          <w:rFonts w:ascii="Times New Roman" w:hAnsi="Times New Roman" w:cs="Times New Roman"/>
          <w:bCs/>
          <w:sz w:val="24"/>
          <w:szCs w:val="24"/>
        </w:rPr>
        <w:t xml:space="preserve">to those </w:t>
      </w:r>
      <w:r>
        <w:rPr>
          <w:rFonts w:ascii="Times New Roman" w:hAnsi="Times New Roman" w:cs="Times New Roman"/>
          <w:bCs/>
          <w:sz w:val="24"/>
          <w:szCs w:val="24"/>
        </w:rPr>
        <w:t>who</w:t>
      </w:r>
      <w:r w:rsidRPr="004B3159">
        <w:rPr>
          <w:rFonts w:ascii="Times New Roman" w:hAnsi="Times New Roman" w:cs="Times New Roman"/>
          <w:bCs/>
          <w:sz w:val="24"/>
          <w:szCs w:val="24"/>
        </w:rPr>
        <w:t xml:space="preserve"> offend, shock or disturb the state or any sector of the population</w:t>
      </w:r>
      <w:r w:rsidRPr="004B3159">
        <w:rPr>
          <w:rFonts w:ascii="Times New Roman" w:hAnsi="Times New Roman" w:cs="Times New Roman"/>
          <w:bCs/>
          <w:sz w:val="24"/>
          <w:szCs w:val="24"/>
          <w:lang w:val="en-US"/>
        </w:rPr>
        <w:t>”</w:t>
      </w:r>
      <w:r w:rsidRPr="004B3159">
        <w:rPr>
          <w:rFonts w:ascii="Times New Roman" w:hAnsi="Times New Roman" w:cs="Times New Roman"/>
          <w:bCs/>
          <w:sz w:val="24"/>
          <w:vertAlign w:val="superscript"/>
          <w:lang w:val="en-US"/>
        </w:rPr>
        <w:footnoteReference w:id="17"/>
      </w:r>
      <w:r w:rsidRPr="004B3159">
        <w:rPr>
          <w:rFonts w:ascii="Times New Roman" w:hAnsi="Times New Roman" w:cs="Times New Roman"/>
          <w:bCs/>
          <w:sz w:val="24"/>
          <w:szCs w:val="24"/>
          <w:lang w:val="en-US"/>
        </w:rPr>
        <w:t>.</w:t>
      </w:r>
    </w:p>
    <w:p w:rsidR="009962E3" w:rsidRPr="004B3159" w:rsidRDefault="009962E3" w:rsidP="00FD522D">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Another</w:t>
      </w:r>
      <w:r>
        <w:rPr>
          <w:rFonts w:ascii="Times New Roman" w:hAnsi="Times New Roman" w:cs="Times New Roman"/>
          <w:sz w:val="24"/>
          <w:szCs w:val="24"/>
          <w:lang w:val="mk-MK"/>
        </w:rPr>
        <w:t xml:space="preserve"> </w:t>
      </w:r>
      <w:r>
        <w:rPr>
          <w:rFonts w:ascii="Times New Roman" w:hAnsi="Times New Roman" w:cs="Times New Roman"/>
          <w:sz w:val="24"/>
          <w:szCs w:val="24"/>
          <w:lang w:val="en-US"/>
        </w:rPr>
        <w:t>fact</w:t>
      </w:r>
      <w:r w:rsidRPr="004B3159">
        <w:rPr>
          <w:rFonts w:ascii="Times New Roman" w:hAnsi="Times New Roman" w:cs="Times New Roman"/>
          <w:sz w:val="24"/>
          <w:szCs w:val="24"/>
          <w:lang w:val="en-US"/>
        </w:rPr>
        <w:t xml:space="preserve"> the Court takes into serious consideration is whether the “hate speech” was </w:t>
      </w:r>
      <w:r>
        <w:rPr>
          <w:rFonts w:ascii="Times New Roman" w:hAnsi="Times New Roman" w:cs="Times New Roman"/>
          <w:sz w:val="24"/>
          <w:szCs w:val="24"/>
          <w:lang w:val="en-US"/>
        </w:rPr>
        <w:t xml:space="preserve">uttered </w:t>
      </w:r>
      <w:r w:rsidRPr="004B3159">
        <w:rPr>
          <w:rFonts w:ascii="Times New Roman" w:hAnsi="Times New Roman" w:cs="Times New Roman"/>
          <w:sz w:val="24"/>
          <w:szCs w:val="24"/>
          <w:lang w:val="en-US"/>
        </w:rPr>
        <w:t xml:space="preserve">during </w:t>
      </w:r>
      <w:r>
        <w:rPr>
          <w:rFonts w:ascii="Times New Roman" w:hAnsi="Times New Roman" w:cs="Times New Roman"/>
          <w:sz w:val="24"/>
          <w:szCs w:val="24"/>
          <w:lang w:val="en-US"/>
        </w:rPr>
        <w:t>a</w:t>
      </w:r>
      <w:r w:rsidRPr="004B3159">
        <w:rPr>
          <w:rFonts w:ascii="Times New Roman" w:hAnsi="Times New Roman" w:cs="Times New Roman"/>
          <w:sz w:val="24"/>
          <w:szCs w:val="24"/>
          <w:lang w:val="en-US"/>
        </w:rPr>
        <w:t xml:space="preserve"> live program</w:t>
      </w:r>
      <w:r>
        <w:rPr>
          <w:rFonts w:ascii="Times New Roman" w:hAnsi="Times New Roman" w:cs="Times New Roman"/>
          <w:sz w:val="24"/>
          <w:szCs w:val="24"/>
          <w:lang w:val="en-US"/>
        </w:rPr>
        <w:t>me</w:t>
      </w:r>
      <w:r w:rsidRPr="004B3159">
        <w:rPr>
          <w:rFonts w:ascii="Times New Roman" w:hAnsi="Times New Roman" w:cs="Times New Roman"/>
          <w:sz w:val="24"/>
          <w:szCs w:val="24"/>
          <w:lang w:val="en-US"/>
        </w:rPr>
        <w:t>. The Court</w:t>
      </w:r>
      <w:r w:rsidRPr="00E710A0">
        <w:rPr>
          <w:rFonts w:ascii="Times New Roman" w:hAnsi="Times New Roman" w:cs="Times New Roman"/>
          <w:sz w:val="24"/>
          <w:szCs w:val="24"/>
          <w:lang w:val="en-US"/>
        </w:rPr>
        <w:t xml:space="preserve"> </w:t>
      </w:r>
      <w:r w:rsidRPr="004B3159">
        <w:rPr>
          <w:rFonts w:ascii="Times New Roman" w:hAnsi="Times New Roman" w:cs="Times New Roman"/>
          <w:sz w:val="24"/>
          <w:szCs w:val="24"/>
          <w:lang w:val="en-US"/>
        </w:rPr>
        <w:t xml:space="preserve">looks, in particular, whether the author had a chance to correct the language that he or she used. Thus, in the case of </w:t>
      </w:r>
      <w:r>
        <w:rPr>
          <w:rFonts w:ascii="Times New Roman" w:hAnsi="Times New Roman" w:cs="Times New Roman"/>
          <w:sz w:val="24"/>
          <w:szCs w:val="24"/>
          <w:lang w:val="en-US"/>
        </w:rPr>
        <w:t>verb</w:t>
      </w:r>
      <w:r w:rsidRPr="004B3159">
        <w:rPr>
          <w:rFonts w:ascii="Times New Roman" w:hAnsi="Times New Roman" w:cs="Times New Roman"/>
          <w:sz w:val="24"/>
          <w:szCs w:val="24"/>
          <w:lang w:val="en-US"/>
        </w:rPr>
        <w:t>al declarations made during a live TV debate, the Court underline</w:t>
      </w:r>
      <w:r>
        <w:rPr>
          <w:rFonts w:ascii="Times New Roman" w:hAnsi="Times New Roman" w:cs="Times New Roman"/>
          <w:sz w:val="24"/>
          <w:szCs w:val="24"/>
          <w:lang w:val="en-US"/>
        </w:rPr>
        <w:t>s</w:t>
      </w:r>
      <w:r w:rsidRPr="004B3159">
        <w:rPr>
          <w:rFonts w:ascii="Times New Roman" w:hAnsi="Times New Roman" w:cs="Times New Roman"/>
          <w:sz w:val="24"/>
          <w:szCs w:val="24"/>
          <w:lang w:val="en-US"/>
        </w:rPr>
        <w:t xml:space="preserve"> that the applicant had no possibility of “reformulating . . . , refining or . . . retracting them before they were made public</w:t>
      </w:r>
      <w:r w:rsidRPr="004B3159">
        <w:rPr>
          <w:rFonts w:ascii="Times New Roman" w:hAnsi="Times New Roman" w:cs="Times New Roman"/>
          <w:sz w:val="24"/>
          <w:vertAlign w:val="superscript"/>
          <w:lang w:val="en-US"/>
        </w:rPr>
        <w:footnoteReference w:id="18"/>
      </w:r>
      <w:r w:rsidRPr="004B3159">
        <w:rPr>
          <w:rFonts w:ascii="Times New Roman" w:hAnsi="Times New Roman" w:cs="Times New Roman"/>
          <w:sz w:val="24"/>
          <w:szCs w:val="24"/>
          <w:lang w:val="en-US"/>
        </w:rPr>
        <w:t>. This format of debate allows for “an exchange of views or even an argument in such a way that the opinions expressed would counterbalance each other and the debate would hold the viewers’ attention”</w:t>
      </w:r>
      <w:r w:rsidRPr="004B3159">
        <w:rPr>
          <w:rFonts w:ascii="Times New Roman" w:hAnsi="Times New Roman" w:cs="Times New Roman"/>
          <w:sz w:val="24"/>
          <w:vertAlign w:val="superscript"/>
          <w:lang w:val="en-US"/>
        </w:rPr>
        <w:footnoteReference w:id="19"/>
      </w:r>
      <w:r w:rsidRPr="004B3159">
        <w:rPr>
          <w:rFonts w:ascii="Times New Roman" w:hAnsi="Times New Roman" w:cs="Times New Roman"/>
          <w:sz w:val="24"/>
          <w:szCs w:val="24"/>
          <w:lang w:val="en-US"/>
        </w:rPr>
        <w:t>. The Cour</w:t>
      </w:r>
      <w:r>
        <w:rPr>
          <w:rFonts w:ascii="Times New Roman" w:hAnsi="Times New Roman" w:cs="Times New Roman"/>
          <w:sz w:val="24"/>
          <w:szCs w:val="24"/>
          <w:lang w:val="en-US"/>
        </w:rPr>
        <w:t>t’</w:t>
      </w:r>
      <w:r w:rsidRPr="004B3159">
        <w:rPr>
          <w:rFonts w:ascii="Times New Roman" w:hAnsi="Times New Roman" w:cs="Times New Roman"/>
          <w:sz w:val="24"/>
          <w:szCs w:val="24"/>
          <w:lang w:val="en-US"/>
        </w:rPr>
        <w:t xml:space="preserve">s judges always </w:t>
      </w:r>
      <w:r>
        <w:rPr>
          <w:rFonts w:ascii="Times New Roman" w:hAnsi="Times New Roman" w:cs="Times New Roman"/>
          <w:sz w:val="24"/>
          <w:szCs w:val="24"/>
          <w:lang w:val="en-US"/>
        </w:rPr>
        <w:t xml:space="preserve">bear in mind </w:t>
      </w:r>
      <w:r w:rsidRPr="004B3159">
        <w:rPr>
          <w:rFonts w:ascii="Times New Roman" w:hAnsi="Times New Roman" w:cs="Times New Roman"/>
          <w:sz w:val="24"/>
          <w:szCs w:val="24"/>
          <w:lang w:val="en-US"/>
        </w:rPr>
        <w:t xml:space="preserve"> that there is a risk that the media will “become a vehicle for the dissemination of hate speech and the promotion of violence”</w:t>
      </w:r>
      <w:r w:rsidRPr="004B3159">
        <w:rPr>
          <w:rFonts w:ascii="Times New Roman" w:hAnsi="Times New Roman" w:cs="Times New Roman"/>
          <w:sz w:val="24"/>
          <w:vertAlign w:val="superscript"/>
          <w:lang w:val="en-US"/>
        </w:rPr>
        <w:footnoteReference w:id="20"/>
      </w:r>
      <w:r w:rsidRPr="004B3159">
        <w:rPr>
          <w:rFonts w:ascii="Times New Roman" w:hAnsi="Times New Roman" w:cs="Times New Roman"/>
          <w:sz w:val="24"/>
          <w:szCs w:val="24"/>
          <w:lang w:val="en-US"/>
        </w:rPr>
        <w:t>.</w:t>
      </w:r>
    </w:p>
    <w:p w:rsidR="009962E3" w:rsidRPr="009B2722" w:rsidRDefault="009962E3" w:rsidP="00445A5A">
      <w:pPr>
        <w:pStyle w:val="ListParagraph"/>
        <w:numPr>
          <w:ilvl w:val="0"/>
          <w:numId w:val="33"/>
        </w:numPr>
        <w:tabs>
          <w:tab w:val="num" w:pos="360"/>
        </w:tabs>
        <w:spacing w:before="100" w:beforeAutospacing="1" w:after="100" w:afterAutospacing="1" w:line="240" w:lineRule="auto"/>
        <w:ind w:left="360"/>
        <w:rPr>
          <w:rFonts w:ascii="Times New Roman" w:hAnsi="Times New Roman"/>
          <w:b/>
          <w:sz w:val="28"/>
          <w:szCs w:val="28"/>
        </w:rPr>
      </w:pPr>
      <w:r w:rsidRPr="009B2722">
        <w:rPr>
          <w:rFonts w:ascii="Times New Roman" w:hAnsi="Times New Roman"/>
          <w:b/>
          <w:sz w:val="24"/>
          <w:szCs w:val="24"/>
        </w:rPr>
        <w:br w:type="page"/>
      </w:r>
      <w:r w:rsidRPr="009B2722">
        <w:rPr>
          <w:rFonts w:ascii="Times New Roman" w:hAnsi="Times New Roman"/>
          <w:b/>
          <w:sz w:val="28"/>
          <w:szCs w:val="28"/>
        </w:rPr>
        <w:t>European Court o</w:t>
      </w:r>
      <w:r>
        <w:rPr>
          <w:rFonts w:ascii="Times New Roman" w:hAnsi="Times New Roman"/>
          <w:b/>
          <w:sz w:val="28"/>
          <w:szCs w:val="28"/>
        </w:rPr>
        <w:t>f</w:t>
      </w:r>
      <w:r w:rsidRPr="009B2722">
        <w:rPr>
          <w:rFonts w:ascii="Times New Roman" w:hAnsi="Times New Roman"/>
          <w:b/>
          <w:sz w:val="28"/>
          <w:szCs w:val="28"/>
        </w:rPr>
        <w:t xml:space="preserve"> Human Rights Case Law on “Hate Speech”</w:t>
      </w:r>
    </w:p>
    <w:p w:rsidR="009962E3" w:rsidRDefault="009962E3" w:rsidP="00445A5A">
      <w:pPr>
        <w:tabs>
          <w:tab w:val="num" w:pos="720"/>
        </w:tabs>
        <w:spacing w:before="100" w:beforeAutospacing="1" w:after="100" w:afterAutospacing="1"/>
        <w:jc w:val="both"/>
        <w:rPr>
          <w:rFonts w:ascii="Times New Roman" w:hAnsi="Times New Roman" w:cs="Times New Roman"/>
          <w:sz w:val="24"/>
          <w:szCs w:val="24"/>
          <w:lang w:val="en-US"/>
        </w:rPr>
      </w:pPr>
    </w:p>
    <w:p w:rsidR="009962E3" w:rsidRPr="004B3159" w:rsidRDefault="009962E3" w:rsidP="00445A5A">
      <w:pPr>
        <w:tabs>
          <w:tab w:val="num" w:pos="72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The Republic of Macedonia ratified the European Convention on Human Rights in 1997</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thus accepting not only the implementation of the Convention, but also the case law of the European Court o</w:t>
      </w:r>
      <w:r>
        <w:rPr>
          <w:rFonts w:ascii="Times New Roman" w:hAnsi="Times New Roman" w:cs="Times New Roman"/>
          <w:sz w:val="24"/>
          <w:szCs w:val="24"/>
          <w:lang w:val="en-US"/>
        </w:rPr>
        <w:t>f</w:t>
      </w:r>
      <w:r w:rsidRPr="004B3159">
        <w:rPr>
          <w:rFonts w:ascii="Times New Roman" w:hAnsi="Times New Roman" w:cs="Times New Roman"/>
          <w:sz w:val="24"/>
          <w:szCs w:val="24"/>
          <w:lang w:val="en-US"/>
        </w:rPr>
        <w:t xml:space="preserve"> Human Rights. Further on, Article 48 of the Law on </w:t>
      </w:r>
      <w:r>
        <w:rPr>
          <w:rFonts w:ascii="Times New Roman" w:hAnsi="Times New Roman" w:cs="Times New Roman"/>
          <w:sz w:val="24"/>
          <w:szCs w:val="24"/>
          <w:lang w:val="en-US"/>
        </w:rPr>
        <w:t>A</w:t>
      </w:r>
      <w:r w:rsidRPr="004B3159">
        <w:rPr>
          <w:rFonts w:ascii="Times New Roman" w:hAnsi="Times New Roman" w:cs="Times New Roman"/>
          <w:sz w:val="24"/>
          <w:szCs w:val="24"/>
          <w:lang w:val="en-US"/>
        </w:rPr>
        <w:t xml:space="preserve">udio and </w:t>
      </w:r>
      <w:r>
        <w:rPr>
          <w:rFonts w:ascii="Times New Roman" w:hAnsi="Times New Roman" w:cs="Times New Roman"/>
          <w:sz w:val="24"/>
          <w:szCs w:val="24"/>
          <w:lang w:val="en-US"/>
        </w:rPr>
        <w:t>A</w:t>
      </w:r>
      <w:r w:rsidRPr="004B3159">
        <w:rPr>
          <w:rFonts w:ascii="Times New Roman" w:hAnsi="Times New Roman" w:cs="Times New Roman"/>
          <w:sz w:val="24"/>
          <w:szCs w:val="24"/>
          <w:lang w:val="en-US"/>
        </w:rPr>
        <w:t xml:space="preserve">udiovisual </w:t>
      </w:r>
      <w:r>
        <w:rPr>
          <w:rFonts w:ascii="Times New Roman" w:hAnsi="Times New Roman" w:cs="Times New Roman"/>
          <w:sz w:val="24"/>
          <w:szCs w:val="24"/>
          <w:lang w:val="en-US"/>
        </w:rPr>
        <w:t>M</w:t>
      </w:r>
      <w:r w:rsidRPr="004B3159">
        <w:rPr>
          <w:rFonts w:ascii="Times New Roman" w:hAnsi="Times New Roman" w:cs="Times New Roman"/>
          <w:sz w:val="24"/>
          <w:szCs w:val="24"/>
          <w:lang w:val="en-US"/>
        </w:rPr>
        <w:t xml:space="preserve">edia </w:t>
      </w:r>
      <w:r>
        <w:rPr>
          <w:rFonts w:ascii="Times New Roman" w:hAnsi="Times New Roman" w:cs="Times New Roman"/>
          <w:sz w:val="24"/>
          <w:szCs w:val="24"/>
          <w:lang w:val="en-US"/>
        </w:rPr>
        <w:t>S</w:t>
      </w:r>
      <w:r w:rsidRPr="004B3159">
        <w:rPr>
          <w:rFonts w:ascii="Times New Roman" w:hAnsi="Times New Roman" w:cs="Times New Roman"/>
          <w:sz w:val="24"/>
          <w:szCs w:val="24"/>
          <w:lang w:val="en-US"/>
        </w:rPr>
        <w:t>ervices</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in its </w:t>
      </w:r>
      <w:r>
        <w:rPr>
          <w:rFonts w:ascii="Times New Roman" w:hAnsi="Times New Roman" w:cs="Times New Roman"/>
          <w:sz w:val="24"/>
          <w:szCs w:val="24"/>
          <w:lang w:val="en-US"/>
        </w:rPr>
        <w:t>P</w:t>
      </w:r>
      <w:r w:rsidRPr="004B3159">
        <w:rPr>
          <w:rFonts w:ascii="Times New Roman" w:hAnsi="Times New Roman" w:cs="Times New Roman"/>
          <w:sz w:val="24"/>
          <w:szCs w:val="24"/>
          <w:lang w:val="en-US"/>
        </w:rPr>
        <w:t>aragraph 2</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prescribes that “the specific prohibitions of </w:t>
      </w:r>
      <w:r>
        <w:rPr>
          <w:rFonts w:ascii="Times New Roman" w:hAnsi="Times New Roman" w:cs="Times New Roman"/>
          <w:sz w:val="24"/>
          <w:szCs w:val="24"/>
          <w:lang w:val="en-US"/>
        </w:rPr>
        <w:t>P</w:t>
      </w:r>
      <w:r w:rsidRPr="004B3159">
        <w:rPr>
          <w:rFonts w:ascii="Times New Roman" w:hAnsi="Times New Roman" w:cs="Times New Roman"/>
          <w:sz w:val="24"/>
          <w:szCs w:val="24"/>
          <w:lang w:val="en-US"/>
        </w:rPr>
        <w:t xml:space="preserve">aragraph (1) of this Article shall be </w:t>
      </w:r>
      <w:r w:rsidRPr="004B3159">
        <w:rPr>
          <w:rFonts w:ascii="Times New Roman" w:hAnsi="Times New Roman" w:cs="Times New Roman"/>
          <w:b/>
          <w:sz w:val="24"/>
          <w:szCs w:val="24"/>
          <w:lang w:val="en-US"/>
        </w:rPr>
        <w:t>in accordance with the practice of the European Court of Human Rights</w:t>
      </w:r>
      <w:r w:rsidRPr="004B3159">
        <w:rPr>
          <w:rFonts w:ascii="Times New Roman" w:hAnsi="Times New Roman" w:cs="Times New Roman"/>
          <w:sz w:val="24"/>
          <w:szCs w:val="24"/>
          <w:lang w:val="en-US"/>
        </w:rPr>
        <w:t>”. Therefore, here will be presented some of the cases that are the cornerstone of the Court’s jurisprudence</w:t>
      </w:r>
      <w:r>
        <w:rPr>
          <w:rFonts w:ascii="Times New Roman" w:hAnsi="Times New Roman" w:cs="Times New Roman"/>
          <w:sz w:val="24"/>
          <w:szCs w:val="24"/>
          <w:lang w:val="en-US"/>
        </w:rPr>
        <w:t>, while</w:t>
      </w:r>
      <w:r w:rsidRPr="004B3159">
        <w:rPr>
          <w:rFonts w:ascii="Times New Roman" w:hAnsi="Times New Roman" w:cs="Times New Roman"/>
          <w:sz w:val="24"/>
          <w:szCs w:val="24"/>
          <w:lang w:val="en-US"/>
        </w:rPr>
        <w:t xml:space="preserve"> all the other cases are available at the official web site of the European Court o</w:t>
      </w:r>
      <w:r>
        <w:rPr>
          <w:rFonts w:ascii="Times New Roman" w:hAnsi="Times New Roman" w:cs="Times New Roman"/>
          <w:sz w:val="24"/>
          <w:szCs w:val="24"/>
          <w:lang w:val="en-US"/>
        </w:rPr>
        <w:t>f</w:t>
      </w:r>
      <w:r w:rsidRPr="004B3159">
        <w:rPr>
          <w:rFonts w:ascii="Times New Roman" w:hAnsi="Times New Roman" w:cs="Times New Roman"/>
          <w:sz w:val="24"/>
          <w:szCs w:val="24"/>
          <w:lang w:val="en-US"/>
        </w:rPr>
        <w:t xml:space="preserve"> Human Rights and in many publications </w:t>
      </w:r>
      <w:r>
        <w:rPr>
          <w:rFonts w:ascii="Times New Roman" w:hAnsi="Times New Roman" w:cs="Times New Roman"/>
          <w:sz w:val="24"/>
          <w:szCs w:val="24"/>
          <w:lang w:val="en-US"/>
        </w:rPr>
        <w:t>containing</w:t>
      </w:r>
      <w:r w:rsidRPr="004B3159">
        <w:rPr>
          <w:rFonts w:ascii="Times New Roman" w:hAnsi="Times New Roman" w:cs="Times New Roman"/>
          <w:sz w:val="24"/>
          <w:szCs w:val="24"/>
          <w:lang w:val="en-US"/>
        </w:rPr>
        <w:t xml:space="preserve"> the most important and influential judgments</w:t>
      </w:r>
      <w:r w:rsidRPr="004B3159">
        <w:rPr>
          <w:rFonts w:ascii="Times New Roman" w:hAnsi="Times New Roman" w:cs="Times New Roman"/>
          <w:sz w:val="24"/>
          <w:vertAlign w:val="superscript"/>
          <w:lang w:val="en-US"/>
        </w:rPr>
        <w:footnoteReference w:id="21"/>
      </w:r>
      <w:r w:rsidRPr="004B3159">
        <w:rPr>
          <w:rFonts w:ascii="Times New Roman" w:hAnsi="Times New Roman" w:cs="Times New Roman"/>
          <w:sz w:val="24"/>
          <w:szCs w:val="24"/>
          <w:lang w:val="en-US"/>
        </w:rPr>
        <w:t xml:space="preserve">. </w:t>
      </w:r>
    </w:p>
    <w:p w:rsidR="009962E3" w:rsidRPr="00445A5A" w:rsidRDefault="009962E3" w:rsidP="00445A5A">
      <w:pPr>
        <w:pStyle w:val="ListParagraph"/>
        <w:numPr>
          <w:ilvl w:val="1"/>
          <w:numId w:val="33"/>
        </w:numPr>
        <w:spacing w:before="100" w:beforeAutospacing="1" w:after="100" w:afterAutospacing="1" w:line="240" w:lineRule="auto"/>
        <w:jc w:val="both"/>
        <w:rPr>
          <w:rFonts w:ascii="Times New Roman" w:hAnsi="Times New Roman"/>
          <w:b/>
          <w:sz w:val="24"/>
          <w:szCs w:val="24"/>
        </w:rPr>
      </w:pPr>
      <w:r w:rsidRPr="00445A5A">
        <w:rPr>
          <w:rFonts w:ascii="Times New Roman" w:hAnsi="Times New Roman"/>
          <w:b/>
          <w:sz w:val="24"/>
          <w:szCs w:val="24"/>
        </w:rPr>
        <w:t xml:space="preserve">Handyside v </w:t>
      </w:r>
      <w:r>
        <w:rPr>
          <w:rFonts w:ascii="Times New Roman" w:hAnsi="Times New Roman"/>
          <w:b/>
          <w:sz w:val="24"/>
          <w:szCs w:val="24"/>
        </w:rPr>
        <w:t xml:space="preserve">the </w:t>
      </w:r>
      <w:r w:rsidRPr="00445A5A">
        <w:rPr>
          <w:rFonts w:ascii="Times New Roman" w:hAnsi="Times New Roman"/>
          <w:b/>
          <w:sz w:val="24"/>
          <w:szCs w:val="24"/>
        </w:rPr>
        <w:t>United Kingdom</w:t>
      </w:r>
    </w:p>
    <w:p w:rsidR="009962E3" w:rsidRPr="004B3159" w:rsidRDefault="009962E3" w:rsidP="00445A5A">
      <w:pPr>
        <w:tabs>
          <w:tab w:val="num" w:pos="72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rPr>
        <w:t xml:space="preserve">In </w:t>
      </w:r>
      <w:r>
        <w:rPr>
          <w:rFonts w:ascii="Times New Roman" w:hAnsi="Times New Roman" w:cs="Times New Roman"/>
          <w:sz w:val="24"/>
          <w:szCs w:val="24"/>
        </w:rPr>
        <w:t xml:space="preserve"> its </w:t>
      </w:r>
      <w:r w:rsidRPr="004B3159">
        <w:rPr>
          <w:rFonts w:ascii="Times New Roman" w:hAnsi="Times New Roman" w:cs="Times New Roman"/>
          <w:sz w:val="24"/>
          <w:szCs w:val="24"/>
        </w:rPr>
        <w:t xml:space="preserve">judgement </w:t>
      </w:r>
      <w:r>
        <w:rPr>
          <w:rFonts w:ascii="Times New Roman" w:hAnsi="Times New Roman" w:cs="Times New Roman"/>
          <w:sz w:val="24"/>
          <w:szCs w:val="24"/>
        </w:rPr>
        <w:t xml:space="preserve">in the case of </w:t>
      </w:r>
      <w:r w:rsidRPr="004B3159">
        <w:rPr>
          <w:rFonts w:ascii="Times New Roman" w:hAnsi="Times New Roman" w:cs="Times New Roman"/>
          <w:sz w:val="24"/>
          <w:szCs w:val="24"/>
        </w:rPr>
        <w:t xml:space="preserve">Handyside v </w:t>
      </w:r>
      <w:r>
        <w:rPr>
          <w:rFonts w:ascii="Times New Roman" w:hAnsi="Times New Roman" w:cs="Times New Roman"/>
          <w:sz w:val="24"/>
          <w:szCs w:val="24"/>
        </w:rPr>
        <w:t xml:space="preserve">the </w:t>
      </w:r>
      <w:r w:rsidRPr="004B3159">
        <w:rPr>
          <w:rFonts w:ascii="Times New Roman" w:hAnsi="Times New Roman" w:cs="Times New Roman"/>
          <w:sz w:val="24"/>
          <w:szCs w:val="24"/>
        </w:rPr>
        <w:t xml:space="preserve">United Kingdom, the Court </w:t>
      </w:r>
      <w:r w:rsidRPr="004B3159">
        <w:rPr>
          <w:rFonts w:ascii="Times New Roman" w:hAnsi="Times New Roman" w:cs="Times New Roman"/>
          <w:sz w:val="24"/>
          <w:szCs w:val="24"/>
          <w:lang w:val="en-US"/>
        </w:rPr>
        <w:t xml:space="preserve">found that a ban imposed by the British authorities under the Obscene Publications Act on a book called </w:t>
      </w:r>
      <w:r w:rsidRPr="004B3159">
        <w:rPr>
          <w:rFonts w:ascii="Times New Roman" w:hAnsi="Times New Roman" w:cs="Times New Roman"/>
          <w:i/>
          <w:iCs/>
          <w:sz w:val="24"/>
          <w:szCs w:val="24"/>
          <w:lang w:val="en-US"/>
        </w:rPr>
        <w:t xml:space="preserve">Little Red School Book was in accordance with the exception laid down in </w:t>
      </w:r>
      <w:r w:rsidRPr="004B3159">
        <w:rPr>
          <w:rFonts w:ascii="Times New Roman" w:hAnsi="Times New Roman" w:cs="Times New Roman"/>
          <w:sz w:val="24"/>
          <w:szCs w:val="24"/>
          <w:lang w:val="en-US"/>
        </w:rPr>
        <w:t>Article 10, Paragraph 2</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regarding protection of morals. The Court further emphasized the importance of freedom </w:t>
      </w:r>
      <w:r>
        <w:rPr>
          <w:rFonts w:ascii="Times New Roman" w:hAnsi="Times New Roman" w:cs="Times New Roman"/>
          <w:sz w:val="24"/>
          <w:szCs w:val="24"/>
          <w:lang w:val="en-US"/>
        </w:rPr>
        <w:t xml:space="preserve">of </w:t>
      </w:r>
      <w:r w:rsidRPr="004B3159">
        <w:rPr>
          <w:rFonts w:ascii="Times New Roman" w:hAnsi="Times New Roman" w:cs="Times New Roman"/>
          <w:sz w:val="24"/>
          <w:szCs w:val="24"/>
          <w:lang w:val="en-US"/>
        </w:rPr>
        <w:t>expression in a democratic society by s</w:t>
      </w:r>
      <w:r>
        <w:rPr>
          <w:rFonts w:ascii="Times New Roman" w:hAnsi="Times New Roman" w:cs="Times New Roman"/>
          <w:sz w:val="24"/>
          <w:szCs w:val="24"/>
          <w:lang w:val="en-US"/>
        </w:rPr>
        <w:t>tat</w:t>
      </w:r>
      <w:r w:rsidRPr="004B3159">
        <w:rPr>
          <w:rFonts w:ascii="Times New Roman" w:hAnsi="Times New Roman" w:cs="Times New Roman"/>
          <w:sz w:val="24"/>
          <w:szCs w:val="24"/>
          <w:lang w:val="en-US"/>
        </w:rPr>
        <w:t xml:space="preserve">ing: </w:t>
      </w:r>
    </w:p>
    <w:p w:rsidR="009962E3" w:rsidRPr="004B3159" w:rsidRDefault="009962E3" w:rsidP="004B3159">
      <w:pPr>
        <w:tabs>
          <w:tab w:val="num" w:pos="720"/>
        </w:tabs>
        <w:spacing w:before="100" w:beforeAutospacing="1" w:after="100" w:afterAutospacing="1" w:line="240" w:lineRule="auto"/>
        <w:ind w:left="720"/>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w:t>
      </w:r>
      <w:r w:rsidRPr="004B3159">
        <w:rPr>
          <w:rFonts w:ascii="Times New Roman" w:hAnsi="Times New Roman" w:cs="Times New Roman"/>
          <w:i/>
          <w:sz w:val="24"/>
          <w:szCs w:val="24"/>
          <w:lang w:val="en-US"/>
        </w:rPr>
        <w:t xml:space="preserve">Freedom of expression constitutes one of the essential foundations of such a society, one of the basic conditions for its progress and for the development of every man. </w:t>
      </w:r>
      <w:r w:rsidRPr="00390ABE">
        <w:rPr>
          <w:rFonts w:ascii="Times New Roman" w:hAnsi="Times New Roman" w:cs="Times New Roman"/>
          <w:i/>
          <w:color w:val="000000"/>
          <w:sz w:val="24"/>
          <w:szCs w:val="24"/>
          <w:shd w:val="clear" w:color="auto" w:fill="FFFFFF"/>
        </w:rPr>
        <w:t xml:space="preserve">Subject to </w:t>
      </w:r>
      <w:r>
        <w:rPr>
          <w:rFonts w:ascii="Times New Roman" w:hAnsi="Times New Roman" w:cs="Times New Roman"/>
          <w:i/>
          <w:color w:val="000000"/>
          <w:sz w:val="24"/>
          <w:szCs w:val="24"/>
          <w:shd w:val="clear" w:color="auto" w:fill="FFFFFF"/>
          <w:lang w:val="en-US"/>
        </w:rPr>
        <w:t>P</w:t>
      </w:r>
      <w:r w:rsidRPr="00390ABE">
        <w:rPr>
          <w:rFonts w:ascii="Times New Roman" w:hAnsi="Times New Roman" w:cs="Times New Roman"/>
          <w:i/>
          <w:color w:val="000000"/>
          <w:sz w:val="24"/>
          <w:szCs w:val="24"/>
          <w:shd w:val="clear" w:color="auto" w:fill="FFFFFF"/>
        </w:rPr>
        <w:t>aragraph 2 of Article 10</w:t>
      </w:r>
      <w:r>
        <w:rPr>
          <w:rFonts w:ascii="Times New Roman" w:hAnsi="Times New Roman" w:cs="Times New Roman"/>
          <w:i/>
          <w:color w:val="000000"/>
          <w:sz w:val="24"/>
          <w:szCs w:val="24"/>
          <w:shd w:val="clear" w:color="auto" w:fill="FFFFFF"/>
        </w:rPr>
        <w:t>,</w:t>
      </w:r>
      <w:r w:rsidRPr="004B3159">
        <w:rPr>
          <w:rFonts w:ascii="Times New Roman" w:hAnsi="Times New Roman" w:cs="Times New Roman"/>
          <w:i/>
          <w:sz w:val="24"/>
          <w:szCs w:val="24"/>
          <w:lang w:val="en-US"/>
        </w:rPr>
        <w:t>, it is applicable not only to</w:t>
      </w:r>
      <w:r>
        <w:rPr>
          <w:rFonts w:ascii="Times New Roman" w:hAnsi="Times New Roman" w:cs="Times New Roman"/>
          <w:i/>
          <w:sz w:val="24"/>
          <w:szCs w:val="24"/>
          <w:lang w:val="en-US"/>
        </w:rPr>
        <w:t xml:space="preserve"> ‘</w:t>
      </w:r>
      <w:r w:rsidRPr="004B3159">
        <w:rPr>
          <w:rFonts w:ascii="Times New Roman" w:hAnsi="Times New Roman" w:cs="Times New Roman"/>
          <w:i/>
          <w:sz w:val="24"/>
          <w:szCs w:val="24"/>
          <w:lang w:val="en-US"/>
        </w:rPr>
        <w:t>information</w:t>
      </w:r>
      <w:r>
        <w:rPr>
          <w:rFonts w:ascii="Times New Roman" w:hAnsi="Times New Roman" w:cs="Times New Roman"/>
          <w:i/>
          <w:sz w:val="24"/>
          <w:szCs w:val="24"/>
          <w:lang w:val="en-US"/>
        </w:rPr>
        <w:t>’</w:t>
      </w:r>
      <w:r w:rsidRPr="004B3159">
        <w:rPr>
          <w:rFonts w:ascii="Times New Roman" w:hAnsi="Times New Roman" w:cs="Times New Roman"/>
          <w:i/>
          <w:sz w:val="24"/>
          <w:szCs w:val="24"/>
          <w:lang w:val="en-US"/>
        </w:rPr>
        <w:t xml:space="preserve"> or</w:t>
      </w:r>
      <w:r>
        <w:rPr>
          <w:rFonts w:ascii="Times New Roman" w:hAnsi="Times New Roman" w:cs="Times New Roman"/>
          <w:i/>
          <w:sz w:val="24"/>
          <w:szCs w:val="24"/>
          <w:lang w:val="en-US"/>
        </w:rPr>
        <w:t xml:space="preserve"> ‘</w:t>
      </w:r>
      <w:r w:rsidRPr="004B3159">
        <w:rPr>
          <w:rFonts w:ascii="Times New Roman" w:hAnsi="Times New Roman" w:cs="Times New Roman"/>
          <w:i/>
          <w:sz w:val="24"/>
          <w:szCs w:val="24"/>
          <w:lang w:val="en-US"/>
        </w:rPr>
        <w:t>ideas</w:t>
      </w:r>
      <w:r>
        <w:rPr>
          <w:rFonts w:ascii="Times New Roman" w:hAnsi="Times New Roman" w:cs="Times New Roman"/>
          <w:i/>
          <w:sz w:val="24"/>
          <w:szCs w:val="24"/>
          <w:lang w:val="en-US"/>
        </w:rPr>
        <w:t>’</w:t>
      </w:r>
      <w:r w:rsidRPr="004B3159">
        <w:rPr>
          <w:rFonts w:ascii="Times New Roman" w:hAnsi="Times New Roman" w:cs="Times New Roman"/>
          <w:i/>
          <w:sz w:val="24"/>
          <w:szCs w:val="24"/>
          <w:lang w:val="en-US"/>
        </w:rPr>
        <w:t xml:space="preserve"> that are favourably received or regarded as inoffensive or as a matter of indifference, but also to those that offend, shock or disturb the State or any sector of the population. Such are the demands of that pluralism, tolerance and broadmindedness without w</w:t>
      </w:r>
      <w:r>
        <w:rPr>
          <w:rFonts w:ascii="Times New Roman" w:hAnsi="Times New Roman" w:cs="Times New Roman"/>
          <w:i/>
          <w:sz w:val="24"/>
          <w:szCs w:val="24"/>
          <w:lang w:val="en-US"/>
        </w:rPr>
        <w:t>hich</w:t>
      </w:r>
      <w:r w:rsidRPr="004B3159">
        <w:rPr>
          <w:rFonts w:ascii="Times New Roman" w:hAnsi="Times New Roman" w:cs="Times New Roman"/>
          <w:i/>
          <w:sz w:val="24"/>
          <w:szCs w:val="24"/>
          <w:lang w:val="en-US"/>
        </w:rPr>
        <w:t xml:space="preserve"> there is no democratic society</w:t>
      </w:r>
      <w:r w:rsidRPr="004B3159">
        <w:rPr>
          <w:rFonts w:ascii="Times New Roman" w:hAnsi="Times New Roman" w:cs="Times New Roman"/>
          <w:sz w:val="24"/>
          <w:szCs w:val="24"/>
          <w:lang w:val="en-US"/>
        </w:rPr>
        <w:t>”.</w:t>
      </w:r>
    </w:p>
    <w:p w:rsidR="009962E3" w:rsidRPr="004B3159" w:rsidRDefault="009962E3" w:rsidP="00445A5A">
      <w:pPr>
        <w:tabs>
          <w:tab w:val="num" w:pos="72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This is the most cited case</w:t>
      </w:r>
      <w:r w:rsidRPr="009F578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so </w:t>
      </w:r>
      <w:r w:rsidRPr="004B3159">
        <w:rPr>
          <w:rFonts w:ascii="Times New Roman" w:hAnsi="Times New Roman" w:cs="Times New Roman"/>
          <w:sz w:val="24"/>
          <w:szCs w:val="24"/>
          <w:lang w:val="en-US"/>
        </w:rPr>
        <w:t>far</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where the Court stated the fundamental role of freedom of expression in all democratic societies for the first time</w:t>
      </w:r>
      <w:r>
        <w:rPr>
          <w:rFonts w:ascii="Times New Roman" w:hAnsi="Times New Roman" w:cs="Times New Roman"/>
          <w:sz w:val="24"/>
          <w:szCs w:val="24"/>
          <w:lang w:val="en-US"/>
        </w:rPr>
        <w:t xml:space="preserve">, emphasizing </w:t>
      </w:r>
      <w:r w:rsidRPr="004B3159">
        <w:rPr>
          <w:rFonts w:ascii="Times New Roman" w:hAnsi="Times New Roman" w:cs="Times New Roman"/>
          <w:sz w:val="24"/>
          <w:szCs w:val="24"/>
          <w:lang w:val="en-US"/>
        </w:rPr>
        <w:t>that freedom of expression is “one of the essential foundations”</w:t>
      </w:r>
      <w:r>
        <w:rPr>
          <w:rFonts w:ascii="Times New Roman" w:hAnsi="Times New Roman" w:cs="Times New Roman"/>
          <w:sz w:val="24"/>
          <w:szCs w:val="24"/>
          <w:lang w:val="en-US"/>
        </w:rPr>
        <w:t xml:space="preserve"> </w:t>
      </w:r>
      <w:r w:rsidRPr="004B3159">
        <w:rPr>
          <w:rFonts w:ascii="Times New Roman" w:hAnsi="Times New Roman" w:cs="Times New Roman"/>
          <w:sz w:val="24"/>
          <w:szCs w:val="24"/>
          <w:lang w:val="en-US"/>
        </w:rPr>
        <w:t xml:space="preserve">of a democratic society. The Court also </w:t>
      </w:r>
      <w:r>
        <w:rPr>
          <w:rFonts w:ascii="Times New Roman" w:hAnsi="Times New Roman" w:cs="Times New Roman"/>
          <w:sz w:val="24"/>
          <w:szCs w:val="24"/>
          <w:lang w:val="en-US"/>
        </w:rPr>
        <w:t>underlined</w:t>
      </w:r>
      <w:r w:rsidRPr="004B3159">
        <w:rPr>
          <w:rFonts w:ascii="Times New Roman" w:hAnsi="Times New Roman" w:cs="Times New Roman"/>
          <w:sz w:val="24"/>
          <w:szCs w:val="24"/>
          <w:lang w:val="en-US"/>
        </w:rPr>
        <w:t xml:space="preserve"> that </w:t>
      </w:r>
      <w:r>
        <w:rPr>
          <w:rFonts w:ascii="Times New Roman" w:hAnsi="Times New Roman" w:cs="Times New Roman"/>
          <w:sz w:val="24"/>
          <w:szCs w:val="24"/>
          <w:lang w:val="en-US"/>
        </w:rPr>
        <w:t>this freedom</w:t>
      </w:r>
      <w:r w:rsidRPr="004B3159">
        <w:rPr>
          <w:rFonts w:ascii="Times New Roman" w:hAnsi="Times New Roman" w:cs="Times New Roman"/>
          <w:sz w:val="24"/>
          <w:szCs w:val="24"/>
          <w:lang w:val="en-US"/>
        </w:rPr>
        <w:t xml:space="preserve"> “constitutes . . . one of the primary conditions </w:t>
      </w:r>
      <w:r>
        <w:rPr>
          <w:rFonts w:ascii="Times New Roman" w:hAnsi="Times New Roman" w:cs="Times New Roman"/>
          <w:sz w:val="24"/>
          <w:szCs w:val="24"/>
          <w:lang w:val="en-US"/>
        </w:rPr>
        <w:t>for</w:t>
      </w:r>
      <w:r w:rsidRPr="004B3159">
        <w:rPr>
          <w:rFonts w:ascii="Times New Roman" w:hAnsi="Times New Roman" w:cs="Times New Roman"/>
          <w:sz w:val="24"/>
          <w:szCs w:val="24"/>
          <w:lang w:val="en-US"/>
        </w:rPr>
        <w:t xml:space="preserve"> its progress and for the development of every man.” This approach entails a high level of protection afforded to “‘information’ or ‘ideas’ which are favourably received or regarded as inoffensive or as </w:t>
      </w:r>
      <w:r>
        <w:rPr>
          <w:rFonts w:ascii="Times New Roman" w:hAnsi="Times New Roman" w:cs="Times New Roman"/>
          <w:sz w:val="24"/>
          <w:szCs w:val="24"/>
          <w:lang w:val="en-US"/>
        </w:rPr>
        <w:t xml:space="preserve">a </w:t>
      </w:r>
      <w:r w:rsidRPr="004B3159">
        <w:rPr>
          <w:rFonts w:ascii="Times New Roman" w:hAnsi="Times New Roman" w:cs="Times New Roman"/>
          <w:sz w:val="24"/>
          <w:szCs w:val="24"/>
          <w:lang w:val="en-US"/>
        </w:rPr>
        <w:t xml:space="preserve">matter of indifference, but also to those that hurt, shock or disturb the State or any sector of the population.” </w:t>
      </w:r>
    </w:p>
    <w:p w:rsidR="009962E3" w:rsidRPr="004B3159" w:rsidRDefault="009962E3" w:rsidP="00445A5A">
      <w:pPr>
        <w:tabs>
          <w:tab w:val="num" w:pos="720"/>
        </w:tabs>
        <w:spacing w:before="100" w:beforeAutospacing="1" w:after="100" w:afterAutospacing="1"/>
        <w:jc w:val="both"/>
        <w:rPr>
          <w:rFonts w:ascii="Times New Roman" w:hAnsi="Times New Roman" w:cs="Times New Roman"/>
          <w:sz w:val="24"/>
          <w:szCs w:val="24"/>
        </w:rPr>
      </w:pPr>
      <w:r w:rsidRPr="004B3159">
        <w:rPr>
          <w:rFonts w:ascii="Times New Roman" w:hAnsi="Times New Roman" w:cs="Times New Roman"/>
          <w:sz w:val="24"/>
          <w:szCs w:val="24"/>
          <w:lang w:val="en-US"/>
        </w:rPr>
        <w:t xml:space="preserve">The judgement </w:t>
      </w:r>
      <w:r>
        <w:rPr>
          <w:rFonts w:ascii="Times New Roman" w:hAnsi="Times New Roman" w:cs="Times New Roman"/>
          <w:sz w:val="24"/>
          <w:szCs w:val="24"/>
          <w:lang w:val="en-US"/>
        </w:rPr>
        <w:t xml:space="preserve">in the case of </w:t>
      </w:r>
      <w:r w:rsidRPr="004B3159">
        <w:rPr>
          <w:rFonts w:ascii="Times New Roman" w:hAnsi="Times New Roman" w:cs="Times New Roman"/>
          <w:sz w:val="24"/>
          <w:szCs w:val="24"/>
          <w:lang w:val="en-US"/>
        </w:rPr>
        <w:t xml:space="preserve">Handyside v </w:t>
      </w:r>
      <w:r>
        <w:rPr>
          <w:rFonts w:ascii="Times New Roman" w:hAnsi="Times New Roman" w:cs="Times New Roman"/>
          <w:sz w:val="24"/>
          <w:szCs w:val="24"/>
          <w:lang w:val="en-US"/>
        </w:rPr>
        <w:t xml:space="preserve">the </w:t>
      </w:r>
      <w:r w:rsidRPr="004B3159">
        <w:rPr>
          <w:rFonts w:ascii="Times New Roman" w:hAnsi="Times New Roman" w:cs="Times New Roman"/>
          <w:sz w:val="24"/>
          <w:szCs w:val="24"/>
          <w:lang w:val="en-US"/>
        </w:rPr>
        <w:t xml:space="preserve">United Kingdom has definitely created </w:t>
      </w:r>
      <w:r>
        <w:rPr>
          <w:rFonts w:ascii="Times New Roman" w:hAnsi="Times New Roman" w:cs="Times New Roman"/>
          <w:sz w:val="24"/>
          <w:szCs w:val="24"/>
          <w:lang w:val="en-US"/>
        </w:rPr>
        <w:t>the</w:t>
      </w:r>
      <w:r w:rsidRPr="004B3159">
        <w:rPr>
          <w:rFonts w:ascii="Times New Roman" w:hAnsi="Times New Roman" w:cs="Times New Roman"/>
          <w:sz w:val="24"/>
          <w:szCs w:val="24"/>
          <w:lang w:val="en-US"/>
        </w:rPr>
        <w:t xml:space="preserve"> cornerstone </w:t>
      </w:r>
      <w:r>
        <w:rPr>
          <w:rFonts w:ascii="Times New Roman" w:hAnsi="Times New Roman" w:cs="Times New Roman"/>
          <w:sz w:val="24"/>
          <w:szCs w:val="24"/>
          <w:lang w:val="en-US"/>
        </w:rPr>
        <w:t xml:space="preserve">of the </w:t>
      </w:r>
      <w:r w:rsidRPr="004B3159">
        <w:rPr>
          <w:rFonts w:ascii="Times New Roman" w:hAnsi="Times New Roman" w:cs="Times New Roman"/>
          <w:sz w:val="24"/>
          <w:szCs w:val="24"/>
          <w:lang w:val="en-US"/>
        </w:rPr>
        <w:t xml:space="preserve">protection of political speech, which is defined as speech “that contributes significantly to an exchange of information and ideas in a democratic society”, and it is strongly protected by the Court. Therefore, </w:t>
      </w:r>
      <w:r w:rsidRPr="004B3159">
        <w:rPr>
          <w:rFonts w:ascii="Times New Roman" w:hAnsi="Times New Roman" w:cs="Times New Roman"/>
          <w:sz w:val="24"/>
          <w:szCs w:val="24"/>
        </w:rPr>
        <w:t>the Court will more readily accept restrictions being placed on other kinds of speeches than limits/limitations on political speech.</w:t>
      </w:r>
    </w:p>
    <w:p w:rsidR="009962E3" w:rsidRPr="00445A5A" w:rsidRDefault="009962E3" w:rsidP="00445A5A">
      <w:pPr>
        <w:pStyle w:val="ListParagraph"/>
        <w:numPr>
          <w:ilvl w:val="1"/>
          <w:numId w:val="33"/>
        </w:numPr>
        <w:spacing w:before="100" w:beforeAutospacing="1" w:after="100" w:afterAutospacing="1" w:line="240" w:lineRule="auto"/>
        <w:jc w:val="both"/>
        <w:rPr>
          <w:rFonts w:ascii="Times New Roman" w:hAnsi="Times New Roman"/>
          <w:b/>
          <w:sz w:val="24"/>
          <w:szCs w:val="24"/>
        </w:rPr>
      </w:pPr>
      <w:r w:rsidRPr="00445A5A">
        <w:rPr>
          <w:rFonts w:ascii="Times New Roman" w:hAnsi="Times New Roman"/>
          <w:b/>
          <w:sz w:val="24"/>
          <w:szCs w:val="24"/>
        </w:rPr>
        <w:t>Jersild v</w:t>
      </w:r>
      <w:r>
        <w:rPr>
          <w:rFonts w:ascii="Times New Roman" w:hAnsi="Times New Roman"/>
          <w:b/>
          <w:sz w:val="24"/>
          <w:szCs w:val="24"/>
        </w:rPr>
        <w:t>.</w:t>
      </w:r>
      <w:r w:rsidRPr="00445A5A">
        <w:rPr>
          <w:rFonts w:ascii="Times New Roman" w:hAnsi="Times New Roman"/>
          <w:b/>
          <w:sz w:val="24"/>
          <w:szCs w:val="24"/>
        </w:rPr>
        <w:t xml:space="preserve"> Denmark</w:t>
      </w:r>
    </w:p>
    <w:p w:rsidR="009962E3" w:rsidRPr="004B3159" w:rsidRDefault="009962E3" w:rsidP="00445A5A">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The applicant, a journalist, made a documentary containing extracts from a television interview he had conducted with three members of a group of young people calling themselves "the Greenjackets", who made abusive and derogatory remarks about immigrants and ethnic groups in Denmark. The applicant was convicted of aiding and abetting the dissemination of racist remarks. He alleged a breach of his right to freedom of expression.</w:t>
      </w:r>
    </w:p>
    <w:p w:rsidR="009962E3" w:rsidRPr="004B3159" w:rsidRDefault="009962E3" w:rsidP="00445A5A">
      <w:pPr>
        <w:tabs>
          <w:tab w:val="num" w:pos="72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The Court drew a distinction between the members of the “Greenjackets”, who had made openly racist remarks, and Mr</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Jersild, who had sought to expose, analyse and explain this particular group of youths</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and deal with “</w:t>
      </w:r>
      <w:r>
        <w:rPr>
          <w:rFonts w:ascii="Times New Roman" w:hAnsi="Times New Roman" w:cs="Times New Roman"/>
          <w:sz w:val="24"/>
          <w:szCs w:val="24"/>
          <w:lang w:val="en-US"/>
        </w:rPr>
        <w:t>the</w:t>
      </w:r>
      <w:r w:rsidRPr="004B3159">
        <w:rPr>
          <w:rFonts w:ascii="Times New Roman" w:hAnsi="Times New Roman" w:cs="Times New Roman"/>
          <w:sz w:val="24"/>
          <w:szCs w:val="24"/>
          <w:lang w:val="en-US"/>
        </w:rPr>
        <w:t xml:space="preserve"> specific aspects of a</w:t>
      </w:r>
      <w:r>
        <w:rPr>
          <w:rFonts w:ascii="Times New Roman" w:hAnsi="Times New Roman" w:cs="Times New Roman"/>
          <w:sz w:val="24"/>
          <w:szCs w:val="24"/>
          <w:lang w:val="en-US"/>
        </w:rPr>
        <w:t>n issue</w:t>
      </w:r>
      <w:r w:rsidRPr="004B3159">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had</w:t>
      </w:r>
      <w:r w:rsidRPr="004B3159">
        <w:rPr>
          <w:rFonts w:ascii="Times New Roman" w:hAnsi="Times New Roman" w:cs="Times New Roman"/>
          <w:sz w:val="24"/>
          <w:szCs w:val="24"/>
          <w:lang w:val="en-US"/>
        </w:rPr>
        <w:t xml:space="preserve"> already </w:t>
      </w:r>
      <w:r>
        <w:rPr>
          <w:rFonts w:ascii="Times New Roman" w:hAnsi="Times New Roman" w:cs="Times New Roman"/>
          <w:sz w:val="24"/>
          <w:szCs w:val="24"/>
          <w:lang w:val="en-US"/>
        </w:rPr>
        <w:t>bee</w:t>
      </w:r>
      <w:r w:rsidRPr="004B3159">
        <w:rPr>
          <w:rFonts w:ascii="Times New Roman" w:hAnsi="Times New Roman" w:cs="Times New Roman"/>
          <w:sz w:val="24"/>
          <w:szCs w:val="24"/>
          <w:lang w:val="en-US"/>
        </w:rPr>
        <w:t xml:space="preserve">n  </w:t>
      </w:r>
      <w:r>
        <w:rPr>
          <w:rFonts w:ascii="Times New Roman" w:hAnsi="Times New Roman" w:cs="Times New Roman"/>
          <w:sz w:val="24"/>
          <w:szCs w:val="24"/>
          <w:lang w:val="en-US"/>
        </w:rPr>
        <w:t xml:space="preserve">a matter </w:t>
      </w:r>
      <w:r w:rsidRPr="004B3159">
        <w:rPr>
          <w:rFonts w:ascii="Times New Roman" w:hAnsi="Times New Roman" w:cs="Times New Roman"/>
          <w:sz w:val="24"/>
          <w:szCs w:val="24"/>
          <w:lang w:val="en-US"/>
        </w:rPr>
        <w:t xml:space="preserve">of great public concern”. The documentary as a whole had not been aimed at propagating racist views and ideas, but at informing the public about a social issue. Accordingly, the Court held that there had been a </w:t>
      </w:r>
      <w:r w:rsidRPr="004B3159">
        <w:rPr>
          <w:rFonts w:ascii="Times New Roman" w:hAnsi="Times New Roman" w:cs="Times New Roman"/>
          <w:b/>
          <w:bCs/>
          <w:sz w:val="24"/>
          <w:szCs w:val="24"/>
          <w:lang w:val="en-US"/>
        </w:rPr>
        <w:t xml:space="preserve">violation of Article 10 </w:t>
      </w:r>
      <w:r w:rsidRPr="004B3159">
        <w:rPr>
          <w:rFonts w:ascii="Times New Roman" w:hAnsi="Times New Roman" w:cs="Times New Roman"/>
          <w:sz w:val="24"/>
          <w:szCs w:val="24"/>
          <w:lang w:val="en-US"/>
        </w:rPr>
        <w:t>(freedom of expression)</w:t>
      </w:r>
      <w:r w:rsidRPr="004B3159">
        <w:rPr>
          <w:rFonts w:ascii="Times New Roman" w:hAnsi="Times New Roman" w:cs="Times New Roman"/>
          <w:b/>
          <w:bCs/>
          <w:sz w:val="24"/>
          <w:szCs w:val="24"/>
          <w:lang w:val="en-US"/>
        </w:rPr>
        <w:t>.</w:t>
      </w:r>
      <w:r w:rsidRPr="004B3159">
        <w:rPr>
          <w:rFonts w:ascii="Times New Roman" w:hAnsi="Times New Roman" w:cs="Times New Roman"/>
          <w:sz w:val="24"/>
          <w:szCs w:val="24"/>
          <w:lang w:val="en-US"/>
        </w:rPr>
        <w:t xml:space="preserve"> </w:t>
      </w:r>
    </w:p>
    <w:p w:rsidR="009962E3" w:rsidRPr="00445A5A" w:rsidRDefault="009962E3" w:rsidP="00445A5A">
      <w:pPr>
        <w:pStyle w:val="ListParagraph"/>
        <w:numPr>
          <w:ilvl w:val="1"/>
          <w:numId w:val="33"/>
        </w:numPr>
        <w:spacing w:before="100" w:beforeAutospacing="1" w:after="100" w:afterAutospacing="1" w:line="240" w:lineRule="auto"/>
        <w:jc w:val="both"/>
        <w:rPr>
          <w:rFonts w:ascii="Times New Roman" w:hAnsi="Times New Roman"/>
          <w:b/>
          <w:sz w:val="24"/>
          <w:szCs w:val="24"/>
        </w:rPr>
      </w:pPr>
      <w:r w:rsidRPr="00445A5A">
        <w:rPr>
          <w:rFonts w:ascii="Times New Roman" w:hAnsi="Times New Roman"/>
          <w:b/>
          <w:sz w:val="24"/>
          <w:szCs w:val="24"/>
        </w:rPr>
        <w:t>Muslum Gunduz v. Turkey</w:t>
      </w:r>
    </w:p>
    <w:p w:rsidR="009962E3" w:rsidRPr="004B3159" w:rsidRDefault="009962E3" w:rsidP="00445A5A">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In this case</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the criminal proceedings were instituted against Mr. Gunduz following his appearance, in his capacity as a leader of </w:t>
      </w:r>
      <w:r w:rsidRPr="004B3159">
        <w:rPr>
          <w:rFonts w:ascii="Times New Roman" w:hAnsi="Times New Roman" w:cs="Times New Roman"/>
          <w:i/>
          <w:iCs/>
          <w:sz w:val="24"/>
          <w:szCs w:val="24"/>
          <w:lang w:val="en-US"/>
        </w:rPr>
        <w:t>Tarikat Aczmendi</w:t>
      </w:r>
      <w:r w:rsidRPr="004B3159">
        <w:rPr>
          <w:rFonts w:ascii="Times New Roman" w:hAnsi="Times New Roman" w:cs="Times New Roman"/>
          <w:sz w:val="24"/>
          <w:szCs w:val="24"/>
          <w:lang w:val="en-US"/>
        </w:rPr>
        <w:t xml:space="preserve"> (a community that describes itself as an Islamic sect), on a television programme broadcast by the </w:t>
      </w:r>
      <w:r w:rsidRPr="004B3159">
        <w:rPr>
          <w:rFonts w:ascii="Times New Roman" w:hAnsi="Times New Roman" w:cs="Times New Roman"/>
          <w:i/>
          <w:iCs/>
          <w:sz w:val="24"/>
          <w:szCs w:val="24"/>
          <w:lang w:val="en-US"/>
        </w:rPr>
        <w:t>HBB</w:t>
      </w:r>
      <w:r w:rsidRPr="004B3159">
        <w:rPr>
          <w:rFonts w:ascii="Times New Roman" w:hAnsi="Times New Roman" w:cs="Times New Roman"/>
          <w:sz w:val="24"/>
          <w:szCs w:val="24"/>
          <w:lang w:val="en-US"/>
        </w:rPr>
        <w:t xml:space="preserve"> channel. The programme was broadcast live on 12 June 1995 and lasted approximately four hours. On 1 April 1996</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a state security court found him guilty of inciting people to hatred and hostility on the basis of a distinction founded on religion, </w:t>
      </w:r>
      <w:r>
        <w:rPr>
          <w:rFonts w:ascii="Times New Roman" w:hAnsi="Times New Roman" w:cs="Times New Roman"/>
          <w:sz w:val="24"/>
          <w:szCs w:val="24"/>
          <w:lang w:val="en-US"/>
        </w:rPr>
        <w:t xml:space="preserve">and </w:t>
      </w:r>
      <w:r w:rsidRPr="004B3159">
        <w:rPr>
          <w:rFonts w:ascii="Times New Roman" w:hAnsi="Times New Roman" w:cs="Times New Roman"/>
          <w:sz w:val="24"/>
          <w:szCs w:val="24"/>
          <w:lang w:val="en-US"/>
        </w:rPr>
        <w:t xml:space="preserve">sentenced him to two years’ imprisonment and a fine. </w:t>
      </w:r>
    </w:p>
    <w:p w:rsidR="009962E3" w:rsidRPr="004B3159" w:rsidRDefault="009962E3" w:rsidP="00445A5A">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The Court found that he </w:t>
      </w:r>
      <w:r>
        <w:rPr>
          <w:rFonts w:ascii="Times New Roman" w:hAnsi="Times New Roman" w:cs="Times New Roman"/>
          <w:sz w:val="24"/>
          <w:szCs w:val="24"/>
          <w:lang w:val="en-US"/>
        </w:rPr>
        <w:t xml:space="preserve">had </w:t>
      </w:r>
      <w:r w:rsidRPr="004B3159">
        <w:rPr>
          <w:rFonts w:ascii="Times New Roman" w:hAnsi="Times New Roman" w:cs="Times New Roman"/>
          <w:sz w:val="24"/>
          <w:szCs w:val="24"/>
          <w:lang w:val="en-US"/>
        </w:rPr>
        <w:t>described contemporary secular institutions as “impious”, criticized</w:t>
      </w:r>
      <w:r>
        <w:rPr>
          <w:rFonts w:ascii="Times New Roman" w:hAnsi="Times New Roman" w:cs="Times New Roman"/>
          <w:sz w:val="24"/>
          <w:szCs w:val="24"/>
          <w:lang w:val="en-US"/>
        </w:rPr>
        <w:t xml:space="preserve"> the</w:t>
      </w:r>
      <w:r w:rsidRPr="004B3159">
        <w:rPr>
          <w:rFonts w:ascii="Times New Roman" w:hAnsi="Times New Roman" w:cs="Times New Roman"/>
          <w:sz w:val="24"/>
          <w:szCs w:val="24"/>
          <w:lang w:val="en-US"/>
        </w:rPr>
        <w:t xml:space="preserve"> secular and democratic principles, openly called for the introduction of the shariah. Mr. Gunduz complained to</w:t>
      </w:r>
      <w:r>
        <w:rPr>
          <w:rFonts w:ascii="Times New Roman" w:hAnsi="Times New Roman" w:cs="Times New Roman"/>
          <w:sz w:val="24"/>
          <w:szCs w:val="24"/>
          <w:lang w:val="en-US"/>
        </w:rPr>
        <w:t xml:space="preserve"> the</w:t>
      </w:r>
      <w:r w:rsidRPr="004B3159">
        <w:rPr>
          <w:rFonts w:ascii="Times New Roman" w:hAnsi="Times New Roman" w:cs="Times New Roman"/>
          <w:sz w:val="24"/>
          <w:szCs w:val="24"/>
          <w:lang w:val="en-US"/>
        </w:rPr>
        <w:t xml:space="preserve"> ECHR that his criminal conviction had entailed a violation of Article 10 of the Convention.</w:t>
      </w:r>
    </w:p>
    <w:p w:rsidR="009962E3" w:rsidRPr="004B3159" w:rsidRDefault="009962E3" w:rsidP="00445A5A">
      <w:pPr>
        <w:tabs>
          <w:tab w:val="num" w:pos="720"/>
          <w:tab w:val="num" w:pos="144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The Court found that </w:t>
      </w:r>
      <w:r>
        <w:rPr>
          <w:rFonts w:ascii="Times New Roman" w:hAnsi="Times New Roman" w:cs="Times New Roman"/>
          <w:sz w:val="24"/>
          <w:szCs w:val="24"/>
          <w:lang w:val="en-US"/>
        </w:rPr>
        <w:t>t</w:t>
      </w:r>
      <w:r w:rsidRPr="004B3159">
        <w:rPr>
          <w:rFonts w:ascii="Times New Roman" w:hAnsi="Times New Roman" w:cs="Times New Roman"/>
          <w:sz w:val="24"/>
          <w:szCs w:val="24"/>
          <w:lang w:val="en-US"/>
        </w:rPr>
        <w:t xml:space="preserve">he applicant’s conviction amounted to interference with his right to freedom of expression. The interference was </w:t>
      </w:r>
      <w:r w:rsidRPr="004B3159">
        <w:rPr>
          <w:rFonts w:ascii="Times New Roman" w:hAnsi="Times New Roman" w:cs="Times New Roman"/>
          <w:b/>
          <w:bCs/>
          <w:sz w:val="24"/>
          <w:szCs w:val="24"/>
          <w:lang w:val="en-US"/>
        </w:rPr>
        <w:t>prescribed by the Turkish Criminal Code, and it had a legitimate aim</w:t>
      </w:r>
      <w:r w:rsidRPr="004B3159">
        <w:rPr>
          <w:rFonts w:ascii="Times New Roman" w:hAnsi="Times New Roman" w:cs="Times New Roman"/>
          <w:sz w:val="24"/>
          <w:szCs w:val="24"/>
          <w:lang w:val="en-US"/>
        </w:rPr>
        <w:t xml:space="preserve"> – to prevent disorder or crime and protect the morals and the rights of others.</w:t>
      </w:r>
    </w:p>
    <w:p w:rsidR="009962E3" w:rsidRPr="004B3159" w:rsidRDefault="009962E3" w:rsidP="00445A5A">
      <w:pPr>
        <w:tabs>
          <w:tab w:val="num" w:pos="720"/>
          <w:tab w:val="num" w:pos="144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The “hate speech” </w:t>
      </w:r>
      <w:r>
        <w:rPr>
          <w:rFonts w:ascii="Times New Roman" w:hAnsi="Times New Roman" w:cs="Times New Roman"/>
          <w:sz w:val="24"/>
          <w:szCs w:val="24"/>
          <w:lang w:val="en-US"/>
        </w:rPr>
        <w:t>at issue</w:t>
      </w:r>
      <w:r w:rsidRPr="004B3159">
        <w:rPr>
          <w:rFonts w:ascii="Times New Roman" w:hAnsi="Times New Roman" w:cs="Times New Roman"/>
          <w:sz w:val="24"/>
          <w:szCs w:val="24"/>
          <w:lang w:val="en-US"/>
        </w:rPr>
        <w:t xml:space="preserve"> was stated in a live program</w:t>
      </w:r>
      <w:r>
        <w:rPr>
          <w:rFonts w:ascii="Times New Roman" w:hAnsi="Times New Roman" w:cs="Times New Roman"/>
          <w:sz w:val="24"/>
          <w:szCs w:val="24"/>
          <w:lang w:val="en-US"/>
        </w:rPr>
        <w:t>me</w:t>
      </w:r>
      <w:r w:rsidRPr="004B3159">
        <w:rPr>
          <w:rFonts w:ascii="Times New Roman" w:hAnsi="Times New Roman" w:cs="Times New Roman"/>
          <w:sz w:val="24"/>
          <w:szCs w:val="24"/>
          <w:lang w:val="en-US"/>
        </w:rPr>
        <w:t xml:space="preserve"> and it was about a sect whose followers had </w:t>
      </w:r>
      <w:r>
        <w:rPr>
          <w:rFonts w:ascii="Times New Roman" w:hAnsi="Times New Roman" w:cs="Times New Roman"/>
          <w:sz w:val="24"/>
          <w:szCs w:val="24"/>
          <w:lang w:val="en-US"/>
        </w:rPr>
        <w:t>caught</w:t>
      </w:r>
      <w:r w:rsidRPr="004B3159">
        <w:rPr>
          <w:rFonts w:ascii="Times New Roman" w:hAnsi="Times New Roman" w:cs="Times New Roman"/>
          <w:sz w:val="24"/>
          <w:szCs w:val="24"/>
          <w:lang w:val="en-US"/>
        </w:rPr>
        <w:t xml:space="preserve"> the public eye. Mr Gunduz, whose ideas the public was already familiar with, was invited onto the program</w:t>
      </w:r>
      <w:r>
        <w:rPr>
          <w:rFonts w:ascii="Times New Roman" w:hAnsi="Times New Roman" w:cs="Times New Roman"/>
          <w:sz w:val="24"/>
          <w:szCs w:val="24"/>
          <w:lang w:val="en-US"/>
        </w:rPr>
        <w:t>me</w:t>
      </w:r>
      <w:r w:rsidRPr="004B3159">
        <w:rPr>
          <w:rFonts w:ascii="Times New Roman" w:hAnsi="Times New Roman" w:cs="Times New Roman"/>
          <w:sz w:val="24"/>
          <w:szCs w:val="24"/>
          <w:lang w:val="en-US"/>
        </w:rPr>
        <w:t xml:space="preserve"> to present the sect and its nonconformist views, including the notion that democratic values were incompatible with its conception of Islam. The topic was the subject of</w:t>
      </w:r>
      <w:r>
        <w:rPr>
          <w:rFonts w:ascii="Times New Roman" w:hAnsi="Times New Roman" w:cs="Times New Roman"/>
          <w:sz w:val="24"/>
          <w:szCs w:val="24"/>
          <w:lang w:val="en-US"/>
        </w:rPr>
        <w:t xml:space="preserve"> a</w:t>
      </w:r>
      <w:r w:rsidRPr="004B3159">
        <w:rPr>
          <w:rFonts w:ascii="Times New Roman" w:hAnsi="Times New Roman" w:cs="Times New Roman"/>
          <w:sz w:val="24"/>
          <w:szCs w:val="24"/>
          <w:lang w:val="en-US"/>
        </w:rPr>
        <w:t xml:space="preserve"> widespread debate in the Turkish media and con</w:t>
      </w:r>
      <w:r>
        <w:rPr>
          <w:rFonts w:ascii="Times New Roman" w:hAnsi="Times New Roman" w:cs="Times New Roman"/>
          <w:sz w:val="24"/>
          <w:szCs w:val="24"/>
          <w:lang w:val="en-US"/>
        </w:rPr>
        <w:t>stituted</w:t>
      </w:r>
      <w:r w:rsidRPr="004B3159">
        <w:rPr>
          <w:rFonts w:ascii="Times New Roman" w:hAnsi="Times New Roman" w:cs="Times New Roman"/>
          <w:sz w:val="24"/>
          <w:szCs w:val="24"/>
          <w:lang w:val="en-US"/>
        </w:rPr>
        <w:t xml:space="preserve"> a problem of general interest. Some of the </w:t>
      </w:r>
      <w:r w:rsidRPr="004B3159">
        <w:rPr>
          <w:rFonts w:ascii="Times New Roman" w:hAnsi="Times New Roman" w:cs="Times New Roman"/>
          <w:b/>
          <w:bCs/>
          <w:sz w:val="24"/>
          <w:szCs w:val="24"/>
          <w:lang w:val="en-US"/>
        </w:rPr>
        <w:t>comments</w:t>
      </w:r>
      <w:r w:rsidRPr="004B3159">
        <w:rPr>
          <w:rFonts w:ascii="Times New Roman" w:hAnsi="Times New Roman" w:cs="Times New Roman"/>
          <w:sz w:val="24"/>
          <w:szCs w:val="24"/>
          <w:lang w:val="en-US"/>
        </w:rPr>
        <w:t xml:space="preserve"> for which the domestic courts had convicted the applicant did demonstrate an intransigent attitude towards and profound dissatisfaction with </w:t>
      </w:r>
      <w:r>
        <w:rPr>
          <w:rFonts w:ascii="Times New Roman" w:hAnsi="Times New Roman" w:cs="Times New Roman"/>
          <w:sz w:val="24"/>
          <w:szCs w:val="24"/>
          <w:lang w:val="en-US"/>
        </w:rPr>
        <w:t xml:space="preserve">the </w:t>
      </w:r>
      <w:r w:rsidRPr="004B3159">
        <w:rPr>
          <w:rFonts w:ascii="Times New Roman" w:hAnsi="Times New Roman" w:cs="Times New Roman"/>
          <w:sz w:val="24"/>
          <w:szCs w:val="24"/>
          <w:lang w:val="en-US"/>
        </w:rPr>
        <w:t>contemporary institutions in Turkey. However, the</w:t>
      </w:r>
      <w:r>
        <w:rPr>
          <w:rFonts w:ascii="Times New Roman" w:hAnsi="Times New Roman" w:cs="Times New Roman"/>
          <w:sz w:val="24"/>
          <w:szCs w:val="24"/>
          <w:lang w:val="en-US"/>
        </w:rPr>
        <w:t>se</w:t>
      </w:r>
      <w:r w:rsidRPr="004B3159">
        <w:rPr>
          <w:rFonts w:ascii="Times New Roman" w:hAnsi="Times New Roman" w:cs="Times New Roman"/>
          <w:sz w:val="24"/>
          <w:szCs w:val="24"/>
          <w:lang w:val="en-US"/>
        </w:rPr>
        <w:t xml:space="preserve"> </w:t>
      </w:r>
      <w:r w:rsidRPr="004B3159">
        <w:rPr>
          <w:rFonts w:ascii="Times New Roman" w:hAnsi="Times New Roman" w:cs="Times New Roman"/>
          <w:b/>
          <w:bCs/>
          <w:sz w:val="24"/>
          <w:szCs w:val="24"/>
          <w:lang w:val="en-US"/>
        </w:rPr>
        <w:t xml:space="preserve">could not </w:t>
      </w:r>
      <w:r w:rsidRPr="004B3159">
        <w:rPr>
          <w:rFonts w:ascii="Times New Roman" w:hAnsi="Times New Roman" w:cs="Times New Roman"/>
          <w:sz w:val="24"/>
          <w:szCs w:val="24"/>
          <w:lang w:val="en-US"/>
        </w:rPr>
        <w:t>be regarded as a call to violence or as “</w:t>
      </w:r>
      <w:r w:rsidRPr="004B3159">
        <w:rPr>
          <w:rFonts w:ascii="Times New Roman" w:hAnsi="Times New Roman" w:cs="Times New Roman"/>
          <w:b/>
          <w:bCs/>
          <w:sz w:val="24"/>
          <w:szCs w:val="24"/>
          <w:lang w:val="en-US"/>
        </w:rPr>
        <w:t>hate</w:t>
      </w:r>
      <w:r w:rsidRPr="004B3159">
        <w:rPr>
          <w:rFonts w:ascii="Times New Roman" w:hAnsi="Times New Roman" w:cs="Times New Roman"/>
          <w:sz w:val="24"/>
          <w:szCs w:val="24"/>
          <w:lang w:val="en-US"/>
        </w:rPr>
        <w:t xml:space="preserve"> </w:t>
      </w:r>
      <w:r w:rsidRPr="004B3159">
        <w:rPr>
          <w:rFonts w:ascii="Times New Roman" w:hAnsi="Times New Roman" w:cs="Times New Roman"/>
          <w:b/>
          <w:bCs/>
          <w:sz w:val="24"/>
          <w:szCs w:val="24"/>
          <w:lang w:val="en-US"/>
        </w:rPr>
        <w:t>speech</w:t>
      </w:r>
      <w:r w:rsidRPr="004B3159">
        <w:rPr>
          <w:rFonts w:ascii="Times New Roman" w:hAnsi="Times New Roman" w:cs="Times New Roman"/>
          <w:sz w:val="24"/>
          <w:szCs w:val="24"/>
          <w:lang w:val="en-US"/>
        </w:rPr>
        <w:t xml:space="preserve">” based on religious intolerance. Furthermore, in view of the context in which they had been made, when weighing up the competing interests of freedom of expression and the protection of the rights of others </w:t>
      </w:r>
      <w:r>
        <w:rPr>
          <w:rFonts w:ascii="Times New Roman" w:hAnsi="Times New Roman" w:cs="Times New Roman"/>
          <w:sz w:val="24"/>
          <w:szCs w:val="24"/>
          <w:lang w:val="en-US"/>
        </w:rPr>
        <w:t xml:space="preserve">in order </w:t>
      </w:r>
      <w:r w:rsidRPr="004B3159">
        <w:rPr>
          <w:rFonts w:ascii="Times New Roman" w:hAnsi="Times New Roman" w:cs="Times New Roman"/>
          <w:sz w:val="24"/>
          <w:szCs w:val="24"/>
          <w:lang w:val="en-US"/>
        </w:rPr>
        <w:t xml:space="preserve">to determine whether the interference was necessary for the purposes of Article 10 (2), the Turkish courts should have given greater weight to the fact that </w:t>
      </w:r>
      <w:r w:rsidRPr="004B3159">
        <w:rPr>
          <w:rFonts w:ascii="Times New Roman" w:hAnsi="Times New Roman" w:cs="Times New Roman"/>
          <w:b/>
          <w:bCs/>
          <w:sz w:val="24"/>
          <w:szCs w:val="24"/>
          <w:lang w:val="en-US"/>
        </w:rPr>
        <w:t>the applicant was actively engaged in a lively public debate.</w:t>
      </w:r>
      <w:r w:rsidRPr="004B3159">
        <w:rPr>
          <w:rFonts w:ascii="Times New Roman" w:hAnsi="Times New Roman" w:cs="Times New Roman"/>
          <w:sz w:val="24"/>
          <w:szCs w:val="24"/>
          <w:lang w:val="en-US"/>
        </w:rPr>
        <w:t xml:space="preserve"> </w:t>
      </w:r>
    </w:p>
    <w:p w:rsidR="009962E3" w:rsidRPr="004B3159" w:rsidRDefault="009962E3" w:rsidP="004B3159">
      <w:pPr>
        <w:tabs>
          <w:tab w:val="num" w:pos="720"/>
          <w:tab w:val="num" w:pos="1440"/>
        </w:tabs>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Therefore, the Court confirmed with</w:t>
      </w:r>
      <w:r>
        <w:rPr>
          <w:rFonts w:ascii="Times New Roman" w:hAnsi="Times New Roman" w:cs="Times New Roman"/>
          <w:sz w:val="24"/>
          <w:szCs w:val="24"/>
          <w:lang w:val="en-US"/>
        </w:rPr>
        <w:t xml:space="preserve"> no</w:t>
      </w:r>
      <w:r w:rsidRPr="004B3159">
        <w:rPr>
          <w:rFonts w:ascii="Times New Roman" w:hAnsi="Times New Roman" w:cs="Times New Roman"/>
          <w:sz w:val="24"/>
          <w:szCs w:val="24"/>
          <w:lang w:val="en-US"/>
        </w:rPr>
        <w:t xml:space="preserve"> doubt that the speech in question called to propagate, incite or justify hatred based on intolerance, including religious intolerance, and it did not enjoy the protection of Article 10 of the Court. However, in the Court’s view, merely defending the shariah, </w:t>
      </w:r>
      <w:r w:rsidRPr="004B3159">
        <w:rPr>
          <w:rFonts w:ascii="Times New Roman" w:hAnsi="Times New Roman" w:cs="Times New Roman"/>
          <w:b/>
          <w:bCs/>
          <w:sz w:val="24"/>
          <w:szCs w:val="24"/>
          <w:lang w:val="en-US"/>
        </w:rPr>
        <w:t xml:space="preserve">without calling for the use of violence to establish it, could not be regarded as </w:t>
      </w:r>
      <w:r w:rsidRPr="004B3159">
        <w:rPr>
          <w:rFonts w:ascii="Times New Roman" w:hAnsi="Times New Roman" w:cs="Times New Roman"/>
          <w:sz w:val="24"/>
          <w:szCs w:val="24"/>
          <w:lang w:val="en-US"/>
        </w:rPr>
        <w:t>“</w:t>
      </w:r>
      <w:r w:rsidRPr="004B3159">
        <w:rPr>
          <w:rFonts w:ascii="Times New Roman" w:hAnsi="Times New Roman" w:cs="Times New Roman"/>
          <w:b/>
          <w:bCs/>
          <w:sz w:val="24"/>
          <w:szCs w:val="24"/>
          <w:lang w:val="en-US"/>
        </w:rPr>
        <w:t>hate</w:t>
      </w:r>
      <w:r w:rsidRPr="004B3159">
        <w:rPr>
          <w:rFonts w:ascii="Times New Roman" w:hAnsi="Times New Roman" w:cs="Times New Roman"/>
          <w:sz w:val="24"/>
          <w:szCs w:val="24"/>
          <w:lang w:val="en-US"/>
        </w:rPr>
        <w:t xml:space="preserve"> </w:t>
      </w:r>
      <w:r w:rsidRPr="004B3159">
        <w:rPr>
          <w:rFonts w:ascii="Times New Roman" w:hAnsi="Times New Roman" w:cs="Times New Roman"/>
          <w:b/>
          <w:bCs/>
          <w:sz w:val="24"/>
          <w:szCs w:val="24"/>
          <w:lang w:val="en-US"/>
        </w:rPr>
        <w:t>speech</w:t>
      </w:r>
      <w:r w:rsidRPr="004B3159">
        <w:rPr>
          <w:rFonts w:ascii="Times New Roman" w:hAnsi="Times New Roman" w:cs="Times New Roman"/>
          <w:sz w:val="24"/>
          <w:szCs w:val="24"/>
          <w:lang w:val="en-US"/>
        </w:rPr>
        <w:t>”. In view of the context, the Court found that it had not been convincingly established that the restriction was necessary.</w:t>
      </w:r>
      <w:r w:rsidRPr="004B3159">
        <w:rPr>
          <w:rFonts w:ascii="Times New Roman" w:hAnsi="Times New Roman" w:cs="Times New Roman"/>
          <w:color w:val="000000"/>
          <w:kern w:val="24"/>
          <w:sz w:val="24"/>
          <w:szCs w:val="24"/>
          <w:lang w:val="en-US"/>
        </w:rPr>
        <w:t xml:space="preserve"> </w:t>
      </w:r>
      <w:r w:rsidRPr="004B3159">
        <w:rPr>
          <w:rFonts w:ascii="Times New Roman" w:hAnsi="Times New Roman" w:cs="Times New Roman"/>
          <w:sz w:val="24"/>
          <w:szCs w:val="24"/>
          <w:lang w:val="en-US"/>
        </w:rPr>
        <w:t xml:space="preserve">For the purposes of Article 10, there were </w:t>
      </w:r>
      <w:r w:rsidRPr="004B3159">
        <w:rPr>
          <w:rFonts w:ascii="Times New Roman" w:hAnsi="Times New Roman" w:cs="Times New Roman"/>
          <w:b/>
          <w:bCs/>
          <w:sz w:val="24"/>
          <w:szCs w:val="24"/>
          <w:lang w:val="en-US"/>
        </w:rPr>
        <w:t xml:space="preserve">insufficient reasons </w:t>
      </w:r>
      <w:r w:rsidRPr="004B3159">
        <w:rPr>
          <w:rFonts w:ascii="Times New Roman" w:hAnsi="Times New Roman" w:cs="Times New Roman"/>
          <w:sz w:val="24"/>
          <w:szCs w:val="24"/>
          <w:lang w:val="en-US"/>
        </w:rPr>
        <w:t xml:space="preserve">to justify the interference with the applicant’s right to freedom of expression. </w:t>
      </w:r>
      <w:r>
        <w:rPr>
          <w:rFonts w:ascii="Times New Roman" w:hAnsi="Times New Roman" w:cs="Times New Roman"/>
          <w:sz w:val="24"/>
          <w:szCs w:val="24"/>
          <w:lang w:val="en-US"/>
        </w:rPr>
        <w:t xml:space="preserve">The </w:t>
      </w:r>
      <w:r w:rsidRPr="004B3159">
        <w:rPr>
          <w:rFonts w:ascii="Times New Roman" w:hAnsi="Times New Roman" w:cs="Times New Roman"/>
          <w:sz w:val="24"/>
          <w:szCs w:val="24"/>
          <w:lang w:val="en-US"/>
        </w:rPr>
        <w:t xml:space="preserve">ECHR found </w:t>
      </w:r>
      <w:r w:rsidRPr="004B3159">
        <w:rPr>
          <w:rFonts w:ascii="Times New Roman" w:hAnsi="Times New Roman" w:cs="Times New Roman"/>
          <w:b/>
          <w:bCs/>
          <w:sz w:val="24"/>
          <w:szCs w:val="24"/>
          <w:lang w:val="en-US"/>
        </w:rPr>
        <w:t>the</w:t>
      </w:r>
      <w:r>
        <w:rPr>
          <w:rFonts w:ascii="Times New Roman" w:hAnsi="Times New Roman" w:cs="Times New Roman"/>
          <w:b/>
          <w:bCs/>
          <w:sz w:val="24"/>
          <w:szCs w:val="24"/>
          <w:lang w:val="en-US"/>
        </w:rPr>
        <w:t>re was</w:t>
      </w:r>
      <w:r w:rsidRPr="004B3159">
        <w:rPr>
          <w:rFonts w:ascii="Times New Roman" w:hAnsi="Times New Roman" w:cs="Times New Roman"/>
          <w:b/>
          <w:bCs/>
          <w:sz w:val="24"/>
          <w:szCs w:val="24"/>
          <w:lang w:val="en-US"/>
        </w:rPr>
        <w:t xml:space="preserve"> violation of Article 10</w:t>
      </w:r>
      <w:r>
        <w:rPr>
          <w:rFonts w:ascii="Times New Roman" w:hAnsi="Times New Roman" w:cs="Times New Roman"/>
          <w:b/>
          <w:bCs/>
          <w:sz w:val="24"/>
          <w:szCs w:val="24"/>
          <w:lang w:val="en-US"/>
        </w:rPr>
        <w:t xml:space="preserve"> of the Convention</w:t>
      </w:r>
      <w:r w:rsidRPr="004B3159">
        <w:rPr>
          <w:rFonts w:ascii="Times New Roman" w:hAnsi="Times New Roman" w:cs="Times New Roman"/>
          <w:sz w:val="24"/>
          <w:szCs w:val="24"/>
          <w:lang w:val="en-US"/>
        </w:rPr>
        <w:t xml:space="preserve">. </w:t>
      </w:r>
    </w:p>
    <w:p w:rsidR="009962E3" w:rsidRPr="000E5859" w:rsidRDefault="009962E3" w:rsidP="004B3159">
      <w:pPr>
        <w:tabs>
          <w:tab w:val="num" w:pos="720"/>
          <w:tab w:val="num" w:pos="1440"/>
        </w:tabs>
        <w:spacing w:before="100" w:beforeAutospacing="1" w:after="100" w:afterAutospacing="1"/>
        <w:jc w:val="both"/>
        <w:rPr>
          <w:rFonts w:ascii="Times New Roman" w:hAnsi="Times New Roman" w:cs="Times New Roman"/>
          <w:sz w:val="24"/>
          <w:szCs w:val="24"/>
          <w:lang w:val="en-US"/>
        </w:rPr>
      </w:pPr>
      <w:r w:rsidRPr="000E5859">
        <w:rPr>
          <w:rFonts w:ascii="Times New Roman" w:hAnsi="Times New Roman" w:cs="Times New Roman"/>
          <w:sz w:val="24"/>
          <w:szCs w:val="24"/>
          <w:lang w:val="en-US"/>
        </w:rPr>
        <w:t xml:space="preserve">To conclude this case: </w:t>
      </w:r>
      <w:r w:rsidRPr="00390ABE">
        <w:rPr>
          <w:rFonts w:ascii="Times New Roman" w:hAnsi="Times New Roman" w:cs="Times New Roman"/>
          <w:sz w:val="24"/>
          <w:szCs w:val="24"/>
          <w:lang w:val="en-US"/>
        </w:rPr>
        <w:t xml:space="preserve">although the prohibition of hate speech was </w:t>
      </w:r>
      <w:r w:rsidRPr="00390ABE">
        <w:rPr>
          <w:rFonts w:ascii="Times New Roman" w:hAnsi="Times New Roman" w:cs="Times New Roman"/>
          <w:b/>
          <w:bCs/>
          <w:sz w:val="24"/>
          <w:szCs w:val="24"/>
          <w:lang w:val="en-US"/>
        </w:rPr>
        <w:t>prescribed by law, and although the Court agreed</w:t>
      </w:r>
      <w:r w:rsidRPr="000E5859">
        <w:rPr>
          <w:rFonts w:ascii="Times New Roman" w:hAnsi="Times New Roman" w:cs="Times New Roman"/>
          <w:sz w:val="24"/>
          <w:szCs w:val="24"/>
          <w:lang w:val="en-US"/>
        </w:rPr>
        <w:t xml:space="preserve"> with the Turkish Court that the ban of the program</w:t>
      </w:r>
      <w:r>
        <w:rPr>
          <w:rFonts w:ascii="Times New Roman" w:hAnsi="Times New Roman" w:cs="Times New Roman"/>
          <w:sz w:val="24"/>
          <w:szCs w:val="24"/>
          <w:lang w:val="en-US"/>
        </w:rPr>
        <w:t>me</w:t>
      </w:r>
      <w:r w:rsidRPr="000E5859">
        <w:rPr>
          <w:rFonts w:ascii="Times New Roman" w:hAnsi="Times New Roman" w:cs="Times New Roman"/>
          <w:sz w:val="24"/>
          <w:szCs w:val="24"/>
          <w:lang w:val="en-US"/>
        </w:rPr>
        <w:t xml:space="preserve"> was in accordance with the Turkish Law and </w:t>
      </w:r>
      <w:r>
        <w:rPr>
          <w:rFonts w:ascii="Times New Roman" w:hAnsi="Times New Roman" w:cs="Times New Roman"/>
          <w:sz w:val="24"/>
          <w:szCs w:val="24"/>
          <w:lang w:val="en-US"/>
        </w:rPr>
        <w:t xml:space="preserve">concluded that the </w:t>
      </w:r>
      <w:r w:rsidRPr="000E5859">
        <w:rPr>
          <w:rFonts w:ascii="Times New Roman" w:hAnsi="Times New Roman" w:cs="Times New Roman"/>
          <w:sz w:val="24"/>
          <w:szCs w:val="24"/>
          <w:lang w:val="en-US"/>
        </w:rPr>
        <w:t xml:space="preserve">national courts had </w:t>
      </w:r>
      <w:r w:rsidRPr="000E5859">
        <w:rPr>
          <w:rFonts w:ascii="Times New Roman" w:hAnsi="Times New Roman" w:cs="Times New Roman"/>
          <w:b/>
          <w:bCs/>
          <w:sz w:val="24"/>
          <w:szCs w:val="24"/>
          <w:lang w:val="en-US"/>
        </w:rPr>
        <w:t xml:space="preserve">a legitimate aim </w:t>
      </w:r>
      <w:r>
        <w:rPr>
          <w:rFonts w:ascii="Times New Roman" w:hAnsi="Times New Roman" w:cs="Times New Roman"/>
          <w:sz w:val="24"/>
          <w:szCs w:val="24"/>
          <w:lang w:val="en-US"/>
        </w:rPr>
        <w:t>when</w:t>
      </w:r>
      <w:r>
        <w:rPr>
          <w:rFonts w:ascii="Times New Roman" w:hAnsi="Times New Roman" w:cs="Times New Roman"/>
          <w:sz w:val="24"/>
          <w:szCs w:val="24"/>
          <w:lang w:val="mk-MK"/>
        </w:rPr>
        <w:t xml:space="preserve"> </w:t>
      </w:r>
      <w:r w:rsidRPr="000E5859">
        <w:rPr>
          <w:rFonts w:ascii="Times New Roman" w:hAnsi="Times New Roman" w:cs="Times New Roman"/>
          <w:sz w:val="24"/>
          <w:szCs w:val="24"/>
          <w:lang w:val="en-US"/>
        </w:rPr>
        <w:t>banning the program</w:t>
      </w:r>
      <w:r>
        <w:rPr>
          <w:rFonts w:ascii="Times New Roman" w:hAnsi="Times New Roman" w:cs="Times New Roman"/>
          <w:sz w:val="24"/>
          <w:szCs w:val="24"/>
          <w:lang w:val="en-US"/>
        </w:rPr>
        <w:t>me</w:t>
      </w:r>
      <w:r w:rsidRPr="000E5859">
        <w:rPr>
          <w:rFonts w:ascii="Times New Roman" w:hAnsi="Times New Roman" w:cs="Times New Roman"/>
          <w:sz w:val="24"/>
          <w:szCs w:val="24"/>
          <w:lang w:val="en-US"/>
        </w:rPr>
        <w:t xml:space="preserve"> – the Court still found that the ban itself </w:t>
      </w:r>
      <w:r w:rsidRPr="000E5859">
        <w:rPr>
          <w:rFonts w:ascii="Times New Roman" w:hAnsi="Times New Roman" w:cs="Times New Roman"/>
          <w:b/>
          <w:sz w:val="24"/>
          <w:szCs w:val="24"/>
          <w:lang w:val="en-US"/>
        </w:rPr>
        <w:t>was not necessary in a democratic society</w:t>
      </w:r>
      <w:r w:rsidRPr="000E5859">
        <w:rPr>
          <w:rFonts w:ascii="Times New Roman" w:hAnsi="Times New Roman" w:cs="Times New Roman"/>
          <w:sz w:val="24"/>
          <w:szCs w:val="24"/>
          <w:lang w:val="en-US"/>
        </w:rPr>
        <w:t xml:space="preserve">. </w:t>
      </w:r>
    </w:p>
    <w:p w:rsidR="009962E3" w:rsidRPr="00895D49" w:rsidRDefault="009962E3" w:rsidP="00895D49">
      <w:pPr>
        <w:pStyle w:val="ListParagraph"/>
        <w:numPr>
          <w:ilvl w:val="0"/>
          <w:numId w:val="33"/>
        </w:numPr>
        <w:spacing w:before="100" w:beforeAutospacing="1" w:after="100" w:afterAutospacing="1" w:line="240" w:lineRule="auto"/>
        <w:ind w:left="360"/>
        <w:jc w:val="both"/>
        <w:rPr>
          <w:rFonts w:ascii="Times New Roman" w:hAnsi="Times New Roman"/>
          <w:b/>
          <w:sz w:val="28"/>
          <w:szCs w:val="28"/>
        </w:rPr>
      </w:pPr>
      <w:r w:rsidRPr="00895D49">
        <w:rPr>
          <w:rFonts w:ascii="TimesTen-Roman" w:hAnsi="TimesTen-Roman" w:cs="TimesTen-Roman"/>
          <w:sz w:val="28"/>
          <w:szCs w:val="28"/>
        </w:rPr>
        <w:br w:type="page"/>
      </w:r>
      <w:r w:rsidRPr="00895D49">
        <w:rPr>
          <w:rFonts w:ascii="Times New Roman" w:hAnsi="Times New Roman"/>
          <w:b/>
          <w:sz w:val="28"/>
          <w:szCs w:val="28"/>
        </w:rPr>
        <w:t xml:space="preserve">Macedonian </w:t>
      </w:r>
      <w:r>
        <w:rPr>
          <w:rFonts w:ascii="Times New Roman" w:hAnsi="Times New Roman"/>
          <w:b/>
          <w:sz w:val="28"/>
          <w:szCs w:val="28"/>
        </w:rPr>
        <w:t>r</w:t>
      </w:r>
      <w:r w:rsidRPr="00895D49">
        <w:rPr>
          <w:rFonts w:ascii="Times New Roman" w:hAnsi="Times New Roman"/>
          <w:b/>
          <w:sz w:val="28"/>
          <w:szCs w:val="28"/>
        </w:rPr>
        <w:t xml:space="preserve">egulatory </w:t>
      </w:r>
      <w:r>
        <w:rPr>
          <w:rFonts w:ascii="Times New Roman" w:hAnsi="Times New Roman"/>
          <w:b/>
          <w:sz w:val="28"/>
          <w:szCs w:val="28"/>
        </w:rPr>
        <w:t>f</w:t>
      </w:r>
      <w:r w:rsidRPr="00895D49">
        <w:rPr>
          <w:rFonts w:ascii="Times New Roman" w:hAnsi="Times New Roman"/>
          <w:b/>
          <w:sz w:val="28"/>
          <w:szCs w:val="28"/>
        </w:rPr>
        <w:t>ramework for “</w:t>
      </w:r>
      <w:r>
        <w:rPr>
          <w:rFonts w:ascii="Times New Roman" w:hAnsi="Times New Roman"/>
          <w:b/>
          <w:sz w:val="28"/>
          <w:szCs w:val="28"/>
        </w:rPr>
        <w:t>h</w:t>
      </w:r>
      <w:r w:rsidRPr="00895D49">
        <w:rPr>
          <w:rFonts w:ascii="Times New Roman" w:hAnsi="Times New Roman"/>
          <w:b/>
          <w:sz w:val="28"/>
          <w:szCs w:val="28"/>
        </w:rPr>
        <w:t xml:space="preserve">ate </w:t>
      </w:r>
      <w:r>
        <w:rPr>
          <w:rFonts w:ascii="Times New Roman" w:hAnsi="Times New Roman"/>
          <w:b/>
          <w:sz w:val="28"/>
          <w:szCs w:val="28"/>
        </w:rPr>
        <w:t>s</w:t>
      </w:r>
      <w:r w:rsidRPr="00895D49">
        <w:rPr>
          <w:rFonts w:ascii="Times New Roman" w:hAnsi="Times New Roman"/>
          <w:b/>
          <w:sz w:val="28"/>
          <w:szCs w:val="28"/>
        </w:rPr>
        <w:t>peech”</w:t>
      </w:r>
    </w:p>
    <w:p w:rsidR="009962E3" w:rsidRDefault="009962E3" w:rsidP="004B3159">
      <w:pPr>
        <w:spacing w:before="100" w:beforeAutospacing="1" w:after="100" w:afterAutospacing="1" w:line="240" w:lineRule="auto"/>
        <w:jc w:val="both"/>
        <w:rPr>
          <w:rFonts w:ascii="Times New Roman" w:hAnsi="Times New Roman" w:cs="Times New Roman"/>
          <w:sz w:val="24"/>
          <w:szCs w:val="24"/>
          <w:lang w:val="en-US"/>
        </w:rPr>
      </w:pPr>
    </w:p>
    <w:p w:rsidR="009962E3" w:rsidRPr="004B3159" w:rsidRDefault="009962E3" w:rsidP="00395E27">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It should be noted that the Macedonian </w:t>
      </w:r>
      <w:r>
        <w:rPr>
          <w:rFonts w:ascii="Times New Roman" w:hAnsi="Times New Roman" w:cs="Times New Roman"/>
          <w:sz w:val="24"/>
          <w:szCs w:val="24"/>
          <w:lang w:val="en-US"/>
        </w:rPr>
        <w:t>r</w:t>
      </w:r>
      <w:r w:rsidRPr="004B3159">
        <w:rPr>
          <w:rFonts w:ascii="Times New Roman" w:hAnsi="Times New Roman" w:cs="Times New Roman"/>
          <w:sz w:val="24"/>
          <w:szCs w:val="24"/>
          <w:lang w:val="en-US"/>
        </w:rPr>
        <w:t>egulatory framework follows the guidelines by the E</w:t>
      </w:r>
      <w:r>
        <w:rPr>
          <w:rFonts w:ascii="Times New Roman" w:hAnsi="Times New Roman" w:cs="Times New Roman"/>
          <w:sz w:val="24"/>
          <w:szCs w:val="24"/>
          <w:lang w:val="en-US"/>
        </w:rPr>
        <w:t xml:space="preserve">uropean </w:t>
      </w:r>
      <w:r w:rsidRPr="004B3159">
        <w:rPr>
          <w:rFonts w:ascii="Times New Roman" w:hAnsi="Times New Roman" w:cs="Times New Roman"/>
          <w:sz w:val="24"/>
          <w:szCs w:val="24"/>
          <w:lang w:val="en-US"/>
        </w:rPr>
        <w:t>C</w:t>
      </w:r>
      <w:r>
        <w:rPr>
          <w:rFonts w:ascii="Times New Roman" w:hAnsi="Times New Roman" w:cs="Times New Roman"/>
          <w:sz w:val="24"/>
          <w:szCs w:val="24"/>
          <w:lang w:val="en-US"/>
        </w:rPr>
        <w:t xml:space="preserve">onvenion on </w:t>
      </w:r>
      <w:r w:rsidRPr="004B3159">
        <w:rPr>
          <w:rFonts w:ascii="Times New Roman" w:hAnsi="Times New Roman" w:cs="Times New Roman"/>
          <w:sz w:val="24"/>
          <w:szCs w:val="24"/>
          <w:lang w:val="en-US"/>
        </w:rPr>
        <w:t>H</w:t>
      </w:r>
      <w:r>
        <w:rPr>
          <w:rFonts w:ascii="Times New Roman" w:hAnsi="Times New Roman" w:cs="Times New Roman"/>
          <w:sz w:val="24"/>
          <w:szCs w:val="24"/>
          <w:lang w:val="en-US"/>
        </w:rPr>
        <w:t xml:space="preserve">uman </w:t>
      </w:r>
      <w:r w:rsidRPr="004B3159">
        <w:rPr>
          <w:rFonts w:ascii="Times New Roman" w:hAnsi="Times New Roman" w:cs="Times New Roman"/>
          <w:sz w:val="24"/>
          <w:szCs w:val="24"/>
          <w:lang w:val="en-US"/>
        </w:rPr>
        <w:t>R</w:t>
      </w:r>
      <w:r>
        <w:rPr>
          <w:rFonts w:ascii="Times New Roman" w:hAnsi="Times New Roman" w:cs="Times New Roman"/>
          <w:sz w:val="24"/>
          <w:szCs w:val="24"/>
          <w:lang w:val="en-US"/>
        </w:rPr>
        <w:t>ights</w:t>
      </w:r>
      <w:r w:rsidRPr="004B3159">
        <w:rPr>
          <w:rFonts w:ascii="Times New Roman" w:hAnsi="Times New Roman" w:cs="Times New Roman"/>
          <w:sz w:val="24"/>
          <w:szCs w:val="24"/>
          <w:lang w:val="en-US"/>
        </w:rPr>
        <w:t xml:space="preserve"> to allow “hate speech” regulation through administrative, civil and criminal codes. </w:t>
      </w:r>
    </w:p>
    <w:p w:rsidR="009962E3" w:rsidRPr="001479DF" w:rsidRDefault="009962E3" w:rsidP="001479DF">
      <w:pPr>
        <w:pStyle w:val="ListParagraph"/>
        <w:numPr>
          <w:ilvl w:val="1"/>
          <w:numId w:val="33"/>
        </w:numPr>
        <w:spacing w:before="100" w:beforeAutospacing="1" w:after="100" w:afterAutospacing="1" w:line="240" w:lineRule="auto"/>
        <w:jc w:val="both"/>
        <w:rPr>
          <w:rFonts w:ascii="Times New Roman" w:hAnsi="Times New Roman"/>
          <w:b/>
          <w:sz w:val="24"/>
          <w:szCs w:val="24"/>
        </w:rPr>
      </w:pPr>
      <w:r w:rsidRPr="001479DF">
        <w:rPr>
          <w:rFonts w:ascii="Times New Roman" w:hAnsi="Times New Roman"/>
          <w:b/>
          <w:sz w:val="24"/>
          <w:szCs w:val="24"/>
        </w:rPr>
        <w:t xml:space="preserve">Law on </w:t>
      </w:r>
      <w:r>
        <w:rPr>
          <w:rFonts w:ascii="Times New Roman" w:hAnsi="Times New Roman"/>
          <w:b/>
          <w:sz w:val="24"/>
          <w:szCs w:val="24"/>
        </w:rPr>
        <w:t>A</w:t>
      </w:r>
      <w:r w:rsidRPr="001479DF">
        <w:rPr>
          <w:rFonts w:ascii="Times New Roman" w:hAnsi="Times New Roman"/>
          <w:b/>
          <w:sz w:val="24"/>
          <w:szCs w:val="24"/>
        </w:rPr>
        <w:t xml:space="preserve">udio and </w:t>
      </w:r>
      <w:r>
        <w:rPr>
          <w:rFonts w:ascii="Times New Roman" w:hAnsi="Times New Roman"/>
          <w:b/>
          <w:sz w:val="24"/>
          <w:szCs w:val="24"/>
        </w:rPr>
        <w:t>A</w:t>
      </w:r>
      <w:r w:rsidRPr="001479DF">
        <w:rPr>
          <w:rFonts w:ascii="Times New Roman" w:hAnsi="Times New Roman"/>
          <w:b/>
          <w:sz w:val="24"/>
          <w:szCs w:val="24"/>
        </w:rPr>
        <w:t xml:space="preserve">udiovisual </w:t>
      </w:r>
      <w:r>
        <w:rPr>
          <w:rFonts w:ascii="Times New Roman" w:hAnsi="Times New Roman"/>
          <w:b/>
          <w:sz w:val="24"/>
          <w:szCs w:val="24"/>
        </w:rPr>
        <w:t>M</w:t>
      </w:r>
      <w:r w:rsidRPr="001479DF">
        <w:rPr>
          <w:rFonts w:ascii="Times New Roman" w:hAnsi="Times New Roman"/>
          <w:b/>
          <w:sz w:val="24"/>
          <w:szCs w:val="24"/>
        </w:rPr>
        <w:t xml:space="preserve">edia </w:t>
      </w:r>
      <w:r>
        <w:rPr>
          <w:rFonts w:ascii="Times New Roman" w:hAnsi="Times New Roman"/>
          <w:b/>
          <w:sz w:val="24"/>
          <w:szCs w:val="24"/>
        </w:rPr>
        <w:t>S</w:t>
      </w:r>
      <w:r w:rsidRPr="001479DF">
        <w:rPr>
          <w:rFonts w:ascii="Times New Roman" w:hAnsi="Times New Roman"/>
          <w:b/>
          <w:sz w:val="24"/>
          <w:szCs w:val="24"/>
        </w:rPr>
        <w:t>ervices</w:t>
      </w:r>
    </w:p>
    <w:p w:rsidR="009962E3" w:rsidRPr="004B3159" w:rsidRDefault="009962E3" w:rsidP="00395E27">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Article 4 of the Law on </w:t>
      </w:r>
      <w:r>
        <w:rPr>
          <w:rFonts w:ascii="Times New Roman" w:hAnsi="Times New Roman" w:cs="Times New Roman"/>
          <w:sz w:val="24"/>
          <w:szCs w:val="24"/>
          <w:lang w:val="en-US"/>
        </w:rPr>
        <w:t>A</w:t>
      </w:r>
      <w:r w:rsidRPr="004B3159">
        <w:rPr>
          <w:rFonts w:ascii="Times New Roman" w:hAnsi="Times New Roman" w:cs="Times New Roman"/>
          <w:sz w:val="24"/>
          <w:szCs w:val="24"/>
          <w:lang w:val="en-US"/>
        </w:rPr>
        <w:t xml:space="preserve">udio and </w:t>
      </w:r>
      <w:r>
        <w:rPr>
          <w:rFonts w:ascii="Times New Roman" w:hAnsi="Times New Roman" w:cs="Times New Roman"/>
          <w:sz w:val="24"/>
          <w:szCs w:val="24"/>
          <w:lang w:val="en-US"/>
        </w:rPr>
        <w:t>A</w:t>
      </w:r>
      <w:r w:rsidRPr="004B3159">
        <w:rPr>
          <w:rFonts w:ascii="Times New Roman" w:hAnsi="Times New Roman" w:cs="Times New Roman"/>
          <w:sz w:val="24"/>
          <w:szCs w:val="24"/>
          <w:lang w:val="en-US"/>
        </w:rPr>
        <w:t xml:space="preserve">udiovisual </w:t>
      </w:r>
      <w:r>
        <w:rPr>
          <w:rFonts w:ascii="Times New Roman" w:hAnsi="Times New Roman" w:cs="Times New Roman"/>
          <w:sz w:val="24"/>
          <w:szCs w:val="24"/>
          <w:lang w:val="en-US"/>
        </w:rPr>
        <w:t>M</w:t>
      </w:r>
      <w:r w:rsidRPr="004B3159">
        <w:rPr>
          <w:rFonts w:ascii="Times New Roman" w:hAnsi="Times New Roman" w:cs="Times New Roman"/>
          <w:sz w:val="24"/>
          <w:szCs w:val="24"/>
          <w:lang w:val="en-US"/>
        </w:rPr>
        <w:t xml:space="preserve">edia </w:t>
      </w:r>
      <w:r>
        <w:rPr>
          <w:rFonts w:ascii="Times New Roman" w:hAnsi="Times New Roman" w:cs="Times New Roman"/>
          <w:sz w:val="24"/>
          <w:szCs w:val="24"/>
          <w:lang w:val="en-US"/>
        </w:rPr>
        <w:t>S</w:t>
      </w:r>
      <w:r w:rsidRPr="004B3159">
        <w:rPr>
          <w:rFonts w:ascii="Times New Roman" w:hAnsi="Times New Roman" w:cs="Times New Roman"/>
          <w:sz w:val="24"/>
          <w:szCs w:val="24"/>
          <w:lang w:val="en-US"/>
        </w:rPr>
        <w:t>ervices (</w:t>
      </w:r>
      <w:r>
        <w:rPr>
          <w:rFonts w:ascii="Times New Roman" w:hAnsi="Times New Roman" w:cs="Times New Roman"/>
          <w:sz w:val="24"/>
          <w:szCs w:val="24"/>
          <w:lang w:val="en-US"/>
        </w:rPr>
        <w:t>hereinafter referred to as</w:t>
      </w:r>
      <w:r w:rsidRPr="004B3159">
        <w:rPr>
          <w:rFonts w:ascii="Times New Roman" w:hAnsi="Times New Roman" w:cs="Times New Roman"/>
          <w:sz w:val="24"/>
          <w:szCs w:val="24"/>
          <w:lang w:val="en-US"/>
        </w:rPr>
        <w:t xml:space="preserve"> “the Law”) states that the “competent authority on matters </w:t>
      </w:r>
      <w:r>
        <w:rPr>
          <w:rFonts w:ascii="Times New Roman" w:hAnsi="Times New Roman" w:cs="Times New Roman"/>
          <w:sz w:val="24"/>
          <w:szCs w:val="24"/>
          <w:lang w:val="en-US"/>
        </w:rPr>
        <w:t>under</w:t>
      </w:r>
      <w:r w:rsidRPr="004B3159">
        <w:rPr>
          <w:rFonts w:ascii="Times New Roman" w:hAnsi="Times New Roman" w:cs="Times New Roman"/>
          <w:sz w:val="24"/>
          <w:szCs w:val="24"/>
          <w:lang w:val="en-US"/>
        </w:rPr>
        <w:t xml:space="preserve"> this Law shall be the Agency for Audio and Audiovisual Media Services” (hereinafter: AAAMS).</w:t>
      </w:r>
    </w:p>
    <w:p w:rsidR="009962E3" w:rsidRDefault="009962E3" w:rsidP="00390ABE">
      <w:pPr>
        <w:spacing w:before="100" w:beforeAutospacing="1" w:after="100" w:afterAutospacing="1" w:line="240" w:lineRule="auto"/>
        <w:ind w:firstLine="720"/>
        <w:jc w:val="both"/>
        <w:rPr>
          <w:rFonts w:ascii="Times New Roman" w:hAnsi="Times New Roman" w:cs="Times New Roman"/>
          <w:i/>
          <w:sz w:val="24"/>
          <w:szCs w:val="24"/>
          <w:lang w:val="en-US"/>
        </w:rPr>
      </w:pPr>
      <w:r w:rsidRPr="004B3159">
        <w:rPr>
          <w:rFonts w:ascii="Times New Roman" w:hAnsi="Times New Roman" w:cs="Times New Roman"/>
          <w:sz w:val="24"/>
          <w:szCs w:val="24"/>
          <w:lang w:val="en-US"/>
        </w:rPr>
        <w:t>Article 48 of the Law defines special prohibitions on “hate speech” in the following way:</w:t>
      </w:r>
      <w:r>
        <w:rPr>
          <w:rFonts w:ascii="Times New Roman" w:hAnsi="Times New Roman" w:cs="Times New Roman"/>
          <w:i/>
          <w:sz w:val="24"/>
          <w:szCs w:val="24"/>
          <w:lang w:val="en-US"/>
        </w:rPr>
        <w:t>“</w:t>
      </w:r>
      <w:r w:rsidRPr="004B3159">
        <w:rPr>
          <w:rFonts w:ascii="Times New Roman" w:hAnsi="Times New Roman" w:cs="Times New Roman"/>
          <w:i/>
          <w:sz w:val="24"/>
          <w:szCs w:val="24"/>
          <w:lang w:val="en-US"/>
        </w:rPr>
        <w:t>The audio and audiovisual media service</w:t>
      </w:r>
      <w:r>
        <w:rPr>
          <w:rFonts w:ascii="Times New Roman" w:hAnsi="Times New Roman" w:cs="Times New Roman"/>
          <w:i/>
          <w:sz w:val="24"/>
          <w:szCs w:val="24"/>
          <w:lang w:val="en-US"/>
        </w:rPr>
        <w:t>s</w:t>
      </w:r>
      <w:r w:rsidRPr="004B3159">
        <w:rPr>
          <w:rFonts w:ascii="Times New Roman" w:hAnsi="Times New Roman" w:cs="Times New Roman"/>
          <w:i/>
          <w:sz w:val="24"/>
          <w:szCs w:val="24"/>
          <w:lang w:val="en-US"/>
        </w:rPr>
        <w:t xml:space="preserve"> </w:t>
      </w:r>
      <w:r w:rsidRPr="004B3159">
        <w:rPr>
          <w:rFonts w:ascii="Times New Roman" w:hAnsi="Times New Roman" w:cs="Times New Roman"/>
          <w:b/>
          <w:bCs/>
          <w:i/>
          <w:sz w:val="24"/>
          <w:szCs w:val="24"/>
          <w:lang w:val="en-US"/>
        </w:rPr>
        <w:t xml:space="preserve">must not </w:t>
      </w:r>
      <w:r w:rsidRPr="004B3159">
        <w:rPr>
          <w:rFonts w:ascii="Times New Roman" w:hAnsi="Times New Roman" w:cs="Times New Roman"/>
          <w:i/>
          <w:sz w:val="24"/>
          <w:szCs w:val="24"/>
          <w:lang w:val="en-US"/>
        </w:rPr>
        <w:t>contain programmes that:</w:t>
      </w:r>
    </w:p>
    <w:p w:rsidR="009962E3" w:rsidRPr="004B3159" w:rsidRDefault="009962E3" w:rsidP="004B3159">
      <w:pPr>
        <w:numPr>
          <w:ilvl w:val="1"/>
          <w:numId w:val="21"/>
        </w:numPr>
        <w:spacing w:before="100" w:beforeAutospacing="1" w:after="100" w:afterAutospacing="1" w:line="240" w:lineRule="auto"/>
        <w:jc w:val="both"/>
        <w:rPr>
          <w:rFonts w:ascii="Times New Roman" w:hAnsi="Times New Roman" w:cs="Times New Roman"/>
          <w:i/>
          <w:sz w:val="24"/>
          <w:szCs w:val="24"/>
          <w:lang w:val="en-US"/>
        </w:rPr>
      </w:pPr>
      <w:r w:rsidRPr="004B3159">
        <w:rPr>
          <w:rFonts w:ascii="Times New Roman" w:hAnsi="Times New Roman" w:cs="Times New Roman"/>
          <w:i/>
          <w:sz w:val="24"/>
          <w:szCs w:val="24"/>
          <w:lang w:val="en-US"/>
        </w:rPr>
        <w:t xml:space="preserve">threaten national safety, </w:t>
      </w:r>
    </w:p>
    <w:p w:rsidR="009962E3" w:rsidRPr="004B3159" w:rsidRDefault="009962E3" w:rsidP="004B3159">
      <w:pPr>
        <w:numPr>
          <w:ilvl w:val="1"/>
          <w:numId w:val="21"/>
        </w:numPr>
        <w:spacing w:before="100" w:beforeAutospacing="1" w:after="100" w:afterAutospacing="1" w:line="240" w:lineRule="auto"/>
        <w:jc w:val="both"/>
        <w:rPr>
          <w:rFonts w:ascii="Times New Roman" w:hAnsi="Times New Roman" w:cs="Times New Roman"/>
          <w:i/>
          <w:sz w:val="24"/>
          <w:szCs w:val="24"/>
          <w:lang w:val="en-US"/>
        </w:rPr>
      </w:pPr>
      <w:r w:rsidRPr="004B3159">
        <w:rPr>
          <w:rFonts w:ascii="Times New Roman" w:hAnsi="Times New Roman" w:cs="Times New Roman"/>
          <w:i/>
          <w:sz w:val="24"/>
          <w:szCs w:val="24"/>
          <w:lang w:val="en-US"/>
        </w:rPr>
        <w:t xml:space="preserve">call for violent destruction of the constitutional order of the Republic of Macedonia, </w:t>
      </w:r>
    </w:p>
    <w:p w:rsidR="009962E3" w:rsidRPr="004B3159" w:rsidRDefault="009962E3" w:rsidP="004B3159">
      <w:pPr>
        <w:numPr>
          <w:ilvl w:val="1"/>
          <w:numId w:val="21"/>
        </w:numPr>
        <w:spacing w:before="100" w:beforeAutospacing="1" w:after="100" w:afterAutospacing="1" w:line="240" w:lineRule="auto"/>
        <w:jc w:val="both"/>
        <w:rPr>
          <w:rFonts w:ascii="Times New Roman" w:hAnsi="Times New Roman" w:cs="Times New Roman"/>
          <w:i/>
          <w:sz w:val="24"/>
          <w:szCs w:val="24"/>
          <w:lang w:val="en-US"/>
        </w:rPr>
      </w:pPr>
      <w:r w:rsidRPr="004B3159">
        <w:rPr>
          <w:rFonts w:ascii="Times New Roman" w:hAnsi="Times New Roman" w:cs="Times New Roman"/>
          <w:i/>
          <w:sz w:val="24"/>
          <w:szCs w:val="24"/>
          <w:lang w:val="en-US"/>
        </w:rPr>
        <w:t xml:space="preserve">call for military aggression or armed conflict, </w:t>
      </w:r>
    </w:p>
    <w:p w:rsidR="009962E3" w:rsidRPr="004B3159" w:rsidRDefault="009962E3" w:rsidP="004B3159">
      <w:pPr>
        <w:numPr>
          <w:ilvl w:val="1"/>
          <w:numId w:val="21"/>
        </w:num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i/>
          <w:sz w:val="24"/>
          <w:szCs w:val="24"/>
          <w:lang w:val="en-US"/>
        </w:rPr>
        <w:t>incite or spread discrimination, intolerance or hatred based on race, sex, religion or nationality</w:t>
      </w:r>
      <w:r w:rsidRPr="004B3159">
        <w:rPr>
          <w:rFonts w:ascii="Times New Roman" w:hAnsi="Times New Roman" w:cs="Times New Roman"/>
          <w:sz w:val="24"/>
          <w:szCs w:val="24"/>
          <w:lang w:val="en-US"/>
        </w:rPr>
        <w:t>.</w:t>
      </w:r>
      <w:r w:rsidRPr="004B3159">
        <w:rPr>
          <w:rFonts w:ascii="Times New Roman" w:hAnsi="Times New Roman" w:cs="Times New Roman"/>
          <w:b/>
          <w:bCs/>
          <w:sz w:val="24"/>
          <w:szCs w:val="24"/>
          <w:lang w:val="en-US"/>
        </w:rPr>
        <w:t xml:space="preserve">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Article 48, Paragraph 2</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s</w:t>
      </w:r>
      <w:r>
        <w:rPr>
          <w:rFonts w:ascii="Times New Roman" w:hAnsi="Times New Roman" w:cs="Times New Roman"/>
          <w:sz w:val="24"/>
          <w:szCs w:val="24"/>
          <w:lang w:val="en-US"/>
        </w:rPr>
        <w:t>tate</w:t>
      </w:r>
      <w:r w:rsidRPr="004B3159">
        <w:rPr>
          <w:rFonts w:ascii="Times New Roman" w:hAnsi="Times New Roman" w:cs="Times New Roman"/>
          <w:sz w:val="24"/>
          <w:szCs w:val="24"/>
          <w:lang w:val="en-US"/>
        </w:rPr>
        <w:t>s that:</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sz w:val="24"/>
          <w:szCs w:val="24"/>
          <w:lang w:val="en-US"/>
        </w:rPr>
      </w:pPr>
      <w:r w:rsidRPr="004B3159">
        <w:rPr>
          <w:rFonts w:ascii="Times New Roman" w:hAnsi="Times New Roman" w:cs="Times New Roman"/>
          <w:i/>
          <w:sz w:val="24"/>
          <w:szCs w:val="24"/>
          <w:lang w:val="en-US"/>
        </w:rPr>
        <w:t xml:space="preserve">The specific prohibitions of </w:t>
      </w:r>
      <w:r>
        <w:rPr>
          <w:rFonts w:ascii="Times New Roman" w:hAnsi="Times New Roman" w:cs="Times New Roman"/>
          <w:i/>
          <w:sz w:val="24"/>
          <w:szCs w:val="24"/>
          <w:lang w:val="en-US"/>
        </w:rPr>
        <w:t>P</w:t>
      </w:r>
      <w:r w:rsidRPr="004B3159">
        <w:rPr>
          <w:rFonts w:ascii="Times New Roman" w:hAnsi="Times New Roman" w:cs="Times New Roman"/>
          <w:i/>
          <w:sz w:val="24"/>
          <w:szCs w:val="24"/>
          <w:lang w:val="en-US"/>
        </w:rPr>
        <w:t>aragraph (1) of this Article shall be in accordance with the practice of the European Court of Human Rights</w:t>
      </w:r>
      <w:r w:rsidRPr="004B3159">
        <w:rPr>
          <w:rFonts w:ascii="Times New Roman" w:hAnsi="Times New Roman" w:cs="Times New Roman"/>
          <w:sz w:val="24"/>
          <w:szCs w:val="24"/>
          <w:lang w:val="en-US"/>
        </w:rPr>
        <w:t>.</w:t>
      </w:r>
    </w:p>
    <w:p w:rsidR="009962E3" w:rsidRPr="004B3159" w:rsidRDefault="009962E3" w:rsidP="00395E27">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This provision gives the Agency the authority to use </w:t>
      </w:r>
      <w:r>
        <w:rPr>
          <w:rFonts w:ascii="Times New Roman" w:hAnsi="Times New Roman" w:cs="Times New Roman"/>
          <w:sz w:val="24"/>
          <w:szCs w:val="24"/>
          <w:lang w:val="en-US"/>
        </w:rPr>
        <w:t xml:space="preserve">the </w:t>
      </w:r>
      <w:r w:rsidRPr="004B3159">
        <w:rPr>
          <w:rFonts w:ascii="Times New Roman" w:hAnsi="Times New Roman" w:cs="Times New Roman"/>
          <w:sz w:val="24"/>
          <w:szCs w:val="24"/>
          <w:lang w:val="en-US"/>
        </w:rPr>
        <w:t xml:space="preserve">case law of the European Court of Human Rights in every decision it makes, and in accordance with these Guidelines. </w:t>
      </w:r>
    </w:p>
    <w:p w:rsidR="009962E3" w:rsidRPr="004B3159" w:rsidRDefault="009962E3" w:rsidP="00395E27">
      <w:pPr>
        <w:spacing w:before="100" w:beforeAutospacing="1" w:after="100" w:afterAutospacing="1"/>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Further on, Article 6 provides the AAAMS with the competence, among other</w:t>
      </w:r>
      <w:r>
        <w:rPr>
          <w:rFonts w:ascii="Times New Roman" w:hAnsi="Times New Roman" w:cs="Times New Roman"/>
          <w:sz w:val="24"/>
          <w:szCs w:val="24"/>
          <w:lang w:val="en-US"/>
        </w:rPr>
        <w:t xml:space="preserve"> things</w:t>
      </w:r>
      <w:r w:rsidRPr="004B3159">
        <w:rPr>
          <w:rFonts w:ascii="Times New Roman" w:hAnsi="Times New Roman" w:cs="Times New Roman"/>
          <w:sz w:val="24"/>
          <w:szCs w:val="24"/>
          <w:lang w:val="en-US"/>
        </w:rPr>
        <w:t>, to “</w:t>
      </w:r>
      <w:r w:rsidRPr="004B3159">
        <w:rPr>
          <w:rFonts w:ascii="Times New Roman" w:hAnsi="Times New Roman" w:cs="Times New Roman"/>
          <w:b/>
          <w:bCs/>
          <w:i/>
          <w:sz w:val="24"/>
          <w:szCs w:val="24"/>
          <w:lang w:val="en-US"/>
        </w:rPr>
        <w:t xml:space="preserve">undertake measures in accordance with this Law in cases of violation of the provisions of this </w:t>
      </w:r>
      <w:r w:rsidRPr="00390ABE">
        <w:rPr>
          <w:rFonts w:ascii="Times New Roman" w:hAnsi="Times New Roman" w:cs="Times New Roman"/>
          <w:b/>
          <w:bCs/>
          <w:i/>
          <w:sz w:val="24"/>
          <w:szCs w:val="24"/>
          <w:lang w:val="en-US"/>
        </w:rPr>
        <w:t>Law</w:t>
      </w:r>
      <w:r w:rsidRPr="004B3159">
        <w:rPr>
          <w:rFonts w:ascii="Times New Roman" w:hAnsi="Times New Roman" w:cs="Times New Roman"/>
          <w:bCs/>
          <w:sz w:val="24"/>
          <w:szCs w:val="24"/>
          <w:lang w:val="en-US"/>
        </w:rPr>
        <w:t xml:space="preserve"> or the regulations adopted thereof, and the conditions and obligations arising from </w:t>
      </w:r>
      <w:r>
        <w:rPr>
          <w:rFonts w:ascii="Times New Roman" w:hAnsi="Times New Roman" w:cs="Times New Roman"/>
          <w:bCs/>
          <w:sz w:val="24"/>
          <w:szCs w:val="24"/>
          <w:lang w:val="en-US"/>
        </w:rPr>
        <w:t xml:space="preserve">the </w:t>
      </w:r>
      <w:r w:rsidRPr="004B3159">
        <w:rPr>
          <w:rFonts w:ascii="Times New Roman" w:hAnsi="Times New Roman" w:cs="Times New Roman"/>
          <w:bCs/>
          <w:sz w:val="24"/>
          <w:szCs w:val="24"/>
          <w:lang w:val="en-US"/>
        </w:rPr>
        <w:t>licenses</w:t>
      </w:r>
      <w:r w:rsidRPr="004B3159">
        <w:rPr>
          <w:rFonts w:ascii="Times New Roman" w:hAnsi="Times New Roman" w:cs="Times New Roman"/>
          <w:sz w:val="24"/>
          <w:szCs w:val="24"/>
          <w:lang w:val="en-US"/>
        </w:rPr>
        <w:t>”. That clearly gives the AAAMS</w:t>
      </w:r>
      <w:r>
        <w:rPr>
          <w:rFonts w:ascii="Times New Roman" w:hAnsi="Times New Roman" w:cs="Times New Roman"/>
          <w:sz w:val="24"/>
          <w:szCs w:val="24"/>
          <w:lang w:val="en-US"/>
        </w:rPr>
        <w:t xml:space="preserve"> the</w:t>
      </w:r>
      <w:r w:rsidRPr="004B3159">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authority</w:t>
      </w:r>
      <w:r w:rsidRPr="004B3159">
        <w:rPr>
          <w:rFonts w:ascii="Times New Roman" w:hAnsi="Times New Roman" w:cs="Times New Roman"/>
          <w:sz w:val="24"/>
          <w:szCs w:val="24"/>
          <w:lang w:val="en-US"/>
        </w:rPr>
        <w:t xml:space="preserve"> to react to breach of any Article of the </w:t>
      </w:r>
      <w:r>
        <w:rPr>
          <w:rFonts w:ascii="Times New Roman" w:hAnsi="Times New Roman" w:cs="Times New Roman"/>
          <w:sz w:val="24"/>
          <w:szCs w:val="24"/>
          <w:lang w:val="en-US"/>
        </w:rPr>
        <w:t>L</w:t>
      </w:r>
      <w:r w:rsidRPr="004B3159">
        <w:rPr>
          <w:rFonts w:ascii="Times New Roman" w:hAnsi="Times New Roman" w:cs="Times New Roman"/>
          <w:sz w:val="24"/>
          <w:szCs w:val="24"/>
          <w:lang w:val="en-US"/>
        </w:rPr>
        <w:t xml:space="preserve">aw, including Article 48 and the recognition of “hate speech”. However, it seems that the legislator has missed to precisely regulate the specific measures that the Agency could use against </w:t>
      </w:r>
      <w:r>
        <w:rPr>
          <w:rFonts w:ascii="Times New Roman" w:hAnsi="Times New Roman" w:cs="Times New Roman"/>
          <w:sz w:val="24"/>
          <w:szCs w:val="24"/>
          <w:lang w:val="en-US"/>
        </w:rPr>
        <w:t xml:space="preserve">the </w:t>
      </w:r>
      <w:r w:rsidRPr="004B3159">
        <w:rPr>
          <w:rFonts w:ascii="Times New Roman" w:hAnsi="Times New Roman" w:cs="Times New Roman"/>
          <w:sz w:val="24"/>
          <w:szCs w:val="24"/>
          <w:lang w:val="en-US"/>
        </w:rPr>
        <w:t xml:space="preserve">audio and audiovisual media service providers in Macedonia, </w:t>
      </w:r>
      <w:r>
        <w:rPr>
          <w:rFonts w:ascii="Times New Roman" w:hAnsi="Times New Roman" w:cs="Times New Roman"/>
          <w:sz w:val="24"/>
          <w:szCs w:val="24"/>
          <w:lang w:val="en-US"/>
        </w:rPr>
        <w:t>due to which</w:t>
      </w:r>
      <w:r w:rsidRPr="004B3159">
        <w:rPr>
          <w:rFonts w:ascii="Times New Roman" w:hAnsi="Times New Roman" w:cs="Times New Roman"/>
          <w:sz w:val="24"/>
          <w:szCs w:val="24"/>
          <w:lang w:val="en-US"/>
        </w:rPr>
        <w:t xml:space="preserve"> there is a precisely regulated PART “to undertake measures for timely termination of</w:t>
      </w:r>
      <w:r>
        <w:rPr>
          <w:rFonts w:ascii="Times New Roman" w:hAnsi="Times New Roman" w:cs="Times New Roman"/>
          <w:sz w:val="24"/>
          <w:szCs w:val="24"/>
          <w:lang w:val="en-US"/>
        </w:rPr>
        <w:t xml:space="preserve"> the </w:t>
      </w:r>
      <w:r w:rsidRPr="004B3159">
        <w:rPr>
          <w:rFonts w:ascii="Times New Roman" w:hAnsi="Times New Roman" w:cs="Times New Roman"/>
          <w:sz w:val="24"/>
          <w:szCs w:val="24"/>
          <w:lang w:val="en-US"/>
        </w:rPr>
        <w:t xml:space="preserve">transmission and reception of audio and audiovisual media services from third countries on the territory of the Republic of Macedonia </w:t>
      </w:r>
      <w:r>
        <w:rPr>
          <w:rFonts w:ascii="Times New Roman" w:hAnsi="Times New Roman" w:cs="Times New Roman"/>
          <w:sz w:val="24"/>
          <w:szCs w:val="24"/>
          <w:lang w:val="en-US"/>
        </w:rPr>
        <w:t xml:space="preserve">in </w:t>
      </w:r>
      <w:r w:rsidRPr="004B3159">
        <w:rPr>
          <w:rFonts w:ascii="Times New Roman" w:hAnsi="Times New Roman" w:cs="Times New Roman"/>
          <w:sz w:val="24"/>
          <w:szCs w:val="24"/>
          <w:lang w:val="en-US"/>
        </w:rPr>
        <w:t>accord</w:t>
      </w:r>
      <w:r>
        <w:rPr>
          <w:rFonts w:ascii="Times New Roman" w:hAnsi="Times New Roman" w:cs="Times New Roman"/>
          <w:sz w:val="24"/>
          <w:szCs w:val="24"/>
          <w:lang w:val="en-US"/>
        </w:rPr>
        <w:t>ance with A</w:t>
      </w:r>
      <w:r w:rsidRPr="004B3159">
        <w:rPr>
          <w:rFonts w:ascii="Times New Roman" w:hAnsi="Times New Roman" w:cs="Times New Roman"/>
          <w:sz w:val="24"/>
          <w:szCs w:val="24"/>
          <w:lang w:val="en-US"/>
        </w:rPr>
        <w:t>rticle 45 of this Law”.</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In accordance with Article 7, the “operation of the Agency shall be regulated in more details in the Agency</w:t>
      </w:r>
      <w:r>
        <w:rPr>
          <w:rFonts w:ascii="Times New Roman" w:hAnsi="Times New Roman" w:cs="Times New Roman"/>
          <w:sz w:val="24"/>
          <w:szCs w:val="24"/>
          <w:lang w:val="en-US"/>
        </w:rPr>
        <w:t>’s</w:t>
      </w:r>
      <w:r w:rsidRPr="004B3159">
        <w:rPr>
          <w:rFonts w:ascii="Times New Roman" w:hAnsi="Times New Roman" w:cs="Times New Roman"/>
          <w:sz w:val="24"/>
          <w:szCs w:val="24"/>
          <w:lang w:val="en-US"/>
        </w:rPr>
        <w:t xml:space="preserve"> Rules of Procedure”, which means that the Agency can develop the procedure </w:t>
      </w:r>
      <w:r w:rsidRPr="004B3159">
        <w:rPr>
          <w:rFonts w:ascii="Times New Roman" w:hAnsi="Times New Roman" w:cs="Times New Roman"/>
          <w:b/>
          <w:bCs/>
          <w:sz w:val="24"/>
          <w:szCs w:val="24"/>
          <w:lang w:val="en-US"/>
        </w:rPr>
        <w:t>for adopting the bylaws and other acts arising from th</w:t>
      </w:r>
      <w:r>
        <w:rPr>
          <w:rFonts w:ascii="Times New Roman" w:hAnsi="Times New Roman" w:cs="Times New Roman"/>
          <w:b/>
          <w:bCs/>
          <w:sz w:val="24"/>
          <w:szCs w:val="24"/>
          <w:lang w:val="en-US"/>
        </w:rPr>
        <w:t>is</w:t>
      </w:r>
      <w:r w:rsidRPr="004B3159">
        <w:rPr>
          <w:rFonts w:ascii="Times New Roman" w:hAnsi="Times New Roman" w:cs="Times New Roman"/>
          <w:b/>
          <w:bCs/>
          <w:sz w:val="24"/>
          <w:szCs w:val="24"/>
          <w:lang w:val="en-US"/>
        </w:rPr>
        <w:t xml:space="preserve"> Law</w:t>
      </w:r>
      <w:r w:rsidRPr="004B3159">
        <w:rPr>
          <w:rFonts w:ascii="Times New Roman" w:hAnsi="Times New Roman" w:cs="Times New Roman"/>
          <w:sz w:val="24"/>
          <w:szCs w:val="24"/>
          <w:lang w:val="en-US"/>
        </w:rPr>
        <w:t xml:space="preserve">, which, </w:t>
      </w:r>
      <w:r>
        <w:rPr>
          <w:rFonts w:ascii="Times New Roman" w:hAnsi="Times New Roman" w:cs="Times New Roman"/>
          <w:sz w:val="24"/>
          <w:szCs w:val="24"/>
          <w:lang w:val="en-US"/>
        </w:rPr>
        <w:t>in turn</w:t>
      </w:r>
      <w:r w:rsidRPr="004B3159">
        <w:rPr>
          <w:rFonts w:ascii="Times New Roman" w:hAnsi="Times New Roman" w:cs="Times New Roman"/>
          <w:sz w:val="24"/>
          <w:szCs w:val="24"/>
          <w:lang w:val="en-US"/>
        </w:rPr>
        <w:t xml:space="preserve">, can be the bylaw to further regulate “hate speech”. </w:t>
      </w:r>
    </w:p>
    <w:p w:rsidR="009962E3" w:rsidRDefault="009962E3" w:rsidP="004B3159">
      <w:pPr>
        <w:tabs>
          <w:tab w:val="num" w:pos="720"/>
        </w:tabs>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“If </w:t>
      </w:r>
      <w:r w:rsidRPr="004B3159">
        <w:rPr>
          <w:rFonts w:ascii="Times New Roman" w:hAnsi="Times New Roman" w:cs="Times New Roman"/>
          <w:b/>
          <w:bCs/>
          <w:sz w:val="24"/>
          <w:szCs w:val="24"/>
          <w:lang w:val="en-US"/>
        </w:rPr>
        <w:t>the Agency establishes violation of the provisions of this Law and the bylaws adopted thereof</w:t>
      </w:r>
      <w:r w:rsidRPr="004B3159">
        <w:rPr>
          <w:rFonts w:ascii="Times New Roman" w:hAnsi="Times New Roman" w:cs="Times New Roman"/>
          <w:sz w:val="24"/>
          <w:szCs w:val="24"/>
          <w:lang w:val="en-US"/>
        </w:rPr>
        <w:t xml:space="preserve">, as well as the </w:t>
      </w:r>
      <w:r w:rsidRPr="004B3159">
        <w:rPr>
          <w:rFonts w:ascii="Times New Roman" w:hAnsi="Times New Roman" w:cs="Times New Roman"/>
          <w:b/>
          <w:bCs/>
          <w:sz w:val="24"/>
          <w:szCs w:val="24"/>
          <w:lang w:val="en-US"/>
        </w:rPr>
        <w:t xml:space="preserve">conditions and obligations laid down in the license and other Agency acts, </w:t>
      </w:r>
      <w:r w:rsidRPr="00390ABE">
        <w:rPr>
          <w:rFonts w:ascii="Times New Roman" w:hAnsi="Times New Roman" w:cs="Times New Roman"/>
          <w:bCs/>
          <w:sz w:val="24"/>
          <w:szCs w:val="24"/>
          <w:lang w:val="en-US"/>
        </w:rPr>
        <w:t>t</w:t>
      </w:r>
      <w:r w:rsidRPr="00DB54D6">
        <w:rPr>
          <w:rFonts w:ascii="Times New Roman" w:hAnsi="Times New Roman" w:cs="Times New Roman"/>
          <w:sz w:val="24"/>
          <w:szCs w:val="24"/>
          <w:lang w:val="en-US"/>
        </w:rPr>
        <w:t>he</w:t>
      </w:r>
      <w:r w:rsidRPr="004B3159">
        <w:rPr>
          <w:rFonts w:ascii="Times New Roman" w:hAnsi="Times New Roman" w:cs="Times New Roman"/>
          <w:sz w:val="24"/>
          <w:szCs w:val="24"/>
          <w:lang w:val="en-US"/>
        </w:rPr>
        <w:t xml:space="preserve"> Agency Director may undertake measures against the media publisher, the audio and audio-visual service provider on demand or the operators of electronic communication networks which retransmit programme services”, according to Article 23.</w:t>
      </w:r>
      <w:r>
        <w:rPr>
          <w:rFonts w:ascii="Times New Roman" w:hAnsi="Times New Roman" w:cs="Times New Roman"/>
          <w:sz w:val="24"/>
          <w:szCs w:val="24"/>
          <w:lang w:val="en-US"/>
        </w:rPr>
        <w:t>”</w:t>
      </w:r>
    </w:p>
    <w:p w:rsidR="009962E3" w:rsidRPr="004B3159" w:rsidRDefault="009962E3" w:rsidP="004B3159">
      <w:pPr>
        <w:tabs>
          <w:tab w:val="num" w:pos="720"/>
        </w:tabs>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 It further prescribes that the Agency shall:</w:t>
      </w:r>
    </w:p>
    <w:p w:rsidR="009962E3" w:rsidRPr="004B3159" w:rsidRDefault="009962E3" w:rsidP="004B3159">
      <w:pPr>
        <w:numPr>
          <w:ilvl w:val="0"/>
          <w:numId w:val="22"/>
        </w:num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a</w:t>
      </w:r>
      <w:r w:rsidRPr="004B3159">
        <w:rPr>
          <w:rFonts w:ascii="Times New Roman" w:hAnsi="Times New Roman" w:cs="Times New Roman"/>
          <w:b/>
          <w:bCs/>
          <w:sz w:val="24"/>
          <w:szCs w:val="24"/>
          <w:lang w:val="en-US"/>
        </w:rPr>
        <w:t>dopt a decision with written warning</w:t>
      </w:r>
      <w:r w:rsidRPr="004B3159">
        <w:rPr>
          <w:rFonts w:ascii="Times New Roman" w:hAnsi="Times New Roman" w:cs="Times New Roman"/>
          <w:sz w:val="24"/>
          <w:szCs w:val="24"/>
          <w:lang w:val="en-US"/>
        </w:rPr>
        <w:t xml:space="preserve">; </w:t>
      </w:r>
    </w:p>
    <w:p w:rsidR="009962E3" w:rsidRPr="004B3159" w:rsidRDefault="009962E3" w:rsidP="004B3159">
      <w:pPr>
        <w:numPr>
          <w:ilvl w:val="0"/>
          <w:numId w:val="22"/>
        </w:num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f</w:t>
      </w:r>
      <w:r w:rsidRPr="004B3159">
        <w:rPr>
          <w:rFonts w:ascii="Times New Roman" w:hAnsi="Times New Roman" w:cs="Times New Roman"/>
          <w:b/>
          <w:bCs/>
          <w:sz w:val="24"/>
          <w:szCs w:val="24"/>
          <w:lang w:val="en-US"/>
        </w:rPr>
        <w:t xml:space="preserve">ile a </w:t>
      </w:r>
      <w:r>
        <w:rPr>
          <w:rFonts w:ascii="Times New Roman" w:hAnsi="Times New Roman" w:cs="Times New Roman"/>
          <w:b/>
          <w:bCs/>
          <w:sz w:val="24"/>
          <w:szCs w:val="24"/>
          <w:lang w:val="en-US"/>
        </w:rPr>
        <w:t>request to</w:t>
      </w:r>
      <w:r w:rsidRPr="004B3159">
        <w:rPr>
          <w:rFonts w:ascii="Times New Roman" w:hAnsi="Times New Roman" w:cs="Times New Roman"/>
          <w:b/>
          <w:bCs/>
          <w:sz w:val="24"/>
          <w:szCs w:val="24"/>
          <w:lang w:val="en-US"/>
        </w:rPr>
        <w:t xml:space="preserve"> initiat</w:t>
      </w:r>
      <w:r>
        <w:rPr>
          <w:rFonts w:ascii="Times New Roman" w:hAnsi="Times New Roman" w:cs="Times New Roman"/>
          <w:b/>
          <w:bCs/>
          <w:sz w:val="24"/>
          <w:szCs w:val="24"/>
          <w:lang w:val="en-US"/>
        </w:rPr>
        <w:t>e</w:t>
      </w:r>
      <w:r w:rsidRPr="004B3159">
        <w:rPr>
          <w:rFonts w:ascii="Times New Roman" w:hAnsi="Times New Roman" w:cs="Times New Roman"/>
          <w:b/>
          <w:bCs/>
          <w:sz w:val="24"/>
          <w:szCs w:val="24"/>
          <w:lang w:val="en-US"/>
        </w:rPr>
        <w:t xml:space="preserve"> a misdemeanour procedure </w:t>
      </w:r>
      <w:r w:rsidRPr="004B3159">
        <w:rPr>
          <w:rFonts w:ascii="Times New Roman" w:hAnsi="Times New Roman" w:cs="Times New Roman"/>
          <w:sz w:val="24"/>
          <w:szCs w:val="24"/>
          <w:lang w:val="en-US"/>
        </w:rPr>
        <w:t>in cases where</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despite the adopted warning decision, the same violation that incurred the written warning continues</w:t>
      </w:r>
      <w:r>
        <w:rPr>
          <w:rFonts w:ascii="Times New Roman" w:hAnsi="Times New Roman" w:cs="Times New Roman"/>
          <w:sz w:val="24"/>
          <w:szCs w:val="24"/>
          <w:lang w:val="en-US"/>
        </w:rPr>
        <w:t xml:space="preserve"> throughout </w:t>
      </w:r>
      <w:r w:rsidRPr="004B3159">
        <w:rPr>
          <w:rFonts w:ascii="Times New Roman" w:hAnsi="Times New Roman" w:cs="Times New Roman"/>
          <w:sz w:val="24"/>
          <w:szCs w:val="24"/>
          <w:lang w:val="en-US"/>
        </w:rPr>
        <w:t xml:space="preserve"> the year; </w:t>
      </w:r>
    </w:p>
    <w:p w:rsidR="009962E3" w:rsidRPr="004B3159" w:rsidRDefault="009962E3" w:rsidP="004B3159">
      <w:pPr>
        <w:numPr>
          <w:ilvl w:val="0"/>
          <w:numId w:val="22"/>
        </w:num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b/>
          <w:bCs/>
          <w:sz w:val="24"/>
          <w:szCs w:val="24"/>
          <w:lang w:val="en-US"/>
        </w:rPr>
        <w:t xml:space="preserve">submit </w:t>
      </w:r>
      <w:r>
        <w:rPr>
          <w:rFonts w:ascii="Times New Roman" w:hAnsi="Times New Roman" w:cs="Times New Roman"/>
          <w:b/>
          <w:bCs/>
          <w:sz w:val="24"/>
          <w:szCs w:val="24"/>
          <w:lang w:val="en-US"/>
        </w:rPr>
        <w:t xml:space="preserve">a </w:t>
      </w:r>
      <w:r w:rsidRPr="004B3159">
        <w:rPr>
          <w:rFonts w:ascii="Times New Roman" w:hAnsi="Times New Roman" w:cs="Times New Roman"/>
          <w:b/>
          <w:bCs/>
          <w:sz w:val="24"/>
          <w:szCs w:val="24"/>
          <w:lang w:val="en-US"/>
        </w:rPr>
        <w:t>proposal to the Council for revoking a license</w:t>
      </w:r>
      <w:r w:rsidRPr="004B3159">
        <w:rPr>
          <w:rFonts w:ascii="Times New Roman" w:hAnsi="Times New Roman" w:cs="Times New Roman"/>
          <w:sz w:val="24"/>
          <w:szCs w:val="24"/>
          <w:lang w:val="en-US"/>
        </w:rPr>
        <w:t xml:space="preserve">, or </w:t>
      </w:r>
    </w:p>
    <w:p w:rsidR="009962E3" w:rsidRPr="004B3159" w:rsidRDefault="009962E3" w:rsidP="004B3159">
      <w:pPr>
        <w:numPr>
          <w:ilvl w:val="0"/>
          <w:numId w:val="22"/>
        </w:num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b/>
          <w:bCs/>
          <w:sz w:val="24"/>
          <w:szCs w:val="24"/>
          <w:lang w:val="en-US"/>
        </w:rPr>
        <w:t xml:space="preserve">adopt a decision for deletion from the </w:t>
      </w:r>
      <w:r>
        <w:rPr>
          <w:rFonts w:ascii="Times New Roman" w:hAnsi="Times New Roman" w:cs="Times New Roman"/>
          <w:b/>
          <w:bCs/>
          <w:sz w:val="24"/>
          <w:szCs w:val="24"/>
          <w:lang w:val="en-US"/>
        </w:rPr>
        <w:t>R</w:t>
      </w:r>
      <w:r w:rsidRPr="004B3159">
        <w:rPr>
          <w:rFonts w:ascii="Times New Roman" w:hAnsi="Times New Roman" w:cs="Times New Roman"/>
          <w:b/>
          <w:bCs/>
          <w:sz w:val="24"/>
          <w:szCs w:val="24"/>
          <w:lang w:val="en-US"/>
        </w:rPr>
        <w:t xml:space="preserve">egistry </w:t>
      </w:r>
      <w:r w:rsidRPr="004B3159">
        <w:rPr>
          <w:rFonts w:ascii="Times New Roman" w:hAnsi="Times New Roman" w:cs="Times New Roman"/>
          <w:sz w:val="24"/>
          <w:szCs w:val="24"/>
          <w:lang w:val="en-US"/>
        </w:rPr>
        <w:t xml:space="preserve">in accordance with this Law.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The problem that the Agency may face is the case of a serious “hate speech” broadcast by </w:t>
      </w:r>
      <w:r>
        <w:rPr>
          <w:rFonts w:ascii="Times New Roman" w:hAnsi="Times New Roman" w:cs="Times New Roman"/>
          <w:sz w:val="24"/>
          <w:szCs w:val="24"/>
          <w:lang w:val="en-US"/>
        </w:rPr>
        <w:t>the</w:t>
      </w:r>
      <w:r w:rsidRPr="004B3159">
        <w:rPr>
          <w:rFonts w:ascii="Times New Roman" w:hAnsi="Times New Roman" w:cs="Times New Roman"/>
          <w:sz w:val="24"/>
          <w:szCs w:val="24"/>
          <w:lang w:val="en-US"/>
        </w:rPr>
        <w:t xml:space="preserve"> media, when the written warning may not be enough and when the Agency needs to have a stronger tool to react, such as </w:t>
      </w:r>
      <w:r>
        <w:rPr>
          <w:rFonts w:ascii="Times New Roman" w:hAnsi="Times New Roman" w:cs="Times New Roman"/>
          <w:sz w:val="24"/>
          <w:szCs w:val="24"/>
          <w:lang w:val="en-US"/>
        </w:rPr>
        <w:t xml:space="preserve">the one </w:t>
      </w:r>
      <w:r w:rsidRPr="004B3159">
        <w:rPr>
          <w:rFonts w:ascii="Times New Roman" w:hAnsi="Times New Roman" w:cs="Times New Roman"/>
          <w:sz w:val="24"/>
          <w:szCs w:val="24"/>
          <w:lang w:val="en-US"/>
        </w:rPr>
        <w:t xml:space="preserve">for re-transmission of foreign programs. </w:t>
      </w:r>
    </w:p>
    <w:p w:rsidR="009962E3" w:rsidRPr="001479DF" w:rsidRDefault="009962E3" w:rsidP="001479DF">
      <w:pPr>
        <w:pStyle w:val="ListParagraph"/>
        <w:numPr>
          <w:ilvl w:val="1"/>
          <w:numId w:val="33"/>
        </w:numPr>
        <w:spacing w:before="100" w:beforeAutospacing="1" w:after="100" w:afterAutospacing="1" w:line="240" w:lineRule="auto"/>
        <w:jc w:val="both"/>
        <w:rPr>
          <w:rFonts w:ascii="Times New Roman" w:hAnsi="Times New Roman"/>
          <w:b/>
          <w:sz w:val="24"/>
          <w:szCs w:val="24"/>
        </w:rPr>
      </w:pPr>
      <w:r w:rsidRPr="001479DF">
        <w:rPr>
          <w:rFonts w:ascii="Times New Roman" w:hAnsi="Times New Roman"/>
          <w:b/>
          <w:sz w:val="24"/>
          <w:szCs w:val="24"/>
        </w:rPr>
        <w:t>Criminal Code</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r</w:t>
      </w:r>
      <w:r w:rsidRPr="004B3159">
        <w:rPr>
          <w:rFonts w:ascii="Times New Roman" w:hAnsi="Times New Roman" w:cs="Times New Roman"/>
          <w:sz w:val="24"/>
          <w:szCs w:val="24"/>
          <w:lang w:val="en-US"/>
        </w:rPr>
        <w:t>egard</w:t>
      </w:r>
      <w:r>
        <w:rPr>
          <w:rFonts w:ascii="Times New Roman" w:hAnsi="Times New Roman" w:cs="Times New Roman"/>
          <w:sz w:val="24"/>
          <w:szCs w:val="24"/>
          <w:lang w:val="en-US"/>
        </w:rPr>
        <w:t>s</w:t>
      </w:r>
      <w:r w:rsidRPr="004B3159">
        <w:rPr>
          <w:rFonts w:ascii="Times New Roman" w:hAnsi="Times New Roman" w:cs="Times New Roman"/>
          <w:sz w:val="24"/>
          <w:szCs w:val="24"/>
          <w:lang w:val="en-US"/>
        </w:rPr>
        <w:t xml:space="preserve"> the criminal regulation of “hate speech”</w:t>
      </w:r>
      <w:r>
        <w:rPr>
          <w:rFonts w:ascii="Times New Roman" w:hAnsi="Times New Roman" w:cs="Times New Roman"/>
          <w:sz w:val="24"/>
          <w:szCs w:val="24"/>
          <w:lang w:val="en-US"/>
        </w:rPr>
        <w:t>,</w:t>
      </w:r>
      <w:r w:rsidRPr="004B3159">
        <w:rPr>
          <w:rFonts w:ascii="Times New Roman" w:hAnsi="Times New Roman" w:cs="Times New Roman"/>
          <w:sz w:val="24"/>
          <w:szCs w:val="24"/>
          <w:lang w:val="en-US"/>
        </w:rPr>
        <w:t xml:space="preserve"> it is prescribed in details by the Criminal Code. There are several criminal acts that are connected to “hate speech” and they will be presented below.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The first one is “</w:t>
      </w:r>
      <w:r>
        <w:rPr>
          <w:rFonts w:ascii="Times New Roman" w:hAnsi="Times New Roman" w:cs="Times New Roman"/>
          <w:sz w:val="24"/>
          <w:szCs w:val="24"/>
          <w:lang w:val="en-US"/>
        </w:rPr>
        <w:t xml:space="preserve">jeopardizing </w:t>
      </w:r>
      <w:r w:rsidRPr="004B3159">
        <w:rPr>
          <w:rFonts w:ascii="Times New Roman" w:hAnsi="Times New Roman" w:cs="Times New Roman"/>
          <w:sz w:val="24"/>
          <w:szCs w:val="24"/>
          <w:lang w:val="en-US"/>
        </w:rPr>
        <w:t>safety” (Article 144)</w:t>
      </w:r>
      <w:r>
        <w:rPr>
          <w:rFonts w:ascii="Times New Roman" w:hAnsi="Times New Roman" w:cs="Times New Roman"/>
          <w:sz w:val="24"/>
          <w:szCs w:val="24"/>
          <w:lang w:val="en-US"/>
        </w:rPr>
        <w:t>, which states</w:t>
      </w:r>
      <w:r w:rsidRPr="004B3159">
        <w:rPr>
          <w:rFonts w:ascii="Times New Roman" w:hAnsi="Times New Roman" w:cs="Times New Roman"/>
          <w:sz w:val="24"/>
          <w:szCs w:val="24"/>
          <w:lang w:val="en-US"/>
        </w:rPr>
        <w:t>:</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i/>
          <w:sz w:val="24"/>
          <w:szCs w:val="24"/>
          <w:lang w:val="en-US"/>
        </w:rPr>
      </w:pPr>
      <w:r w:rsidRPr="004B3159">
        <w:rPr>
          <w:rFonts w:ascii="Times New Roman" w:hAnsi="Times New Roman" w:cs="Times New Roman"/>
          <w:i/>
          <w:sz w:val="24"/>
          <w:szCs w:val="24"/>
          <w:lang w:val="en-US"/>
        </w:rPr>
        <w:t xml:space="preserve">Whosoever </w:t>
      </w:r>
      <w:r>
        <w:rPr>
          <w:rFonts w:ascii="Times New Roman" w:hAnsi="Times New Roman" w:cs="Times New Roman"/>
          <w:i/>
          <w:sz w:val="24"/>
          <w:szCs w:val="24"/>
          <w:lang w:val="en-US"/>
        </w:rPr>
        <w:t xml:space="preserve">jeopardizes </w:t>
      </w:r>
      <w:r w:rsidRPr="004B3159">
        <w:rPr>
          <w:rFonts w:ascii="Times New Roman" w:hAnsi="Times New Roman" w:cs="Times New Roman"/>
          <w:i/>
          <w:sz w:val="24"/>
          <w:szCs w:val="24"/>
          <w:lang w:val="en-US"/>
        </w:rPr>
        <w:t xml:space="preserve">the safety of another, </w:t>
      </w:r>
      <w:r w:rsidRPr="004B3159">
        <w:rPr>
          <w:rFonts w:ascii="Times New Roman" w:hAnsi="Times New Roman" w:cs="Times New Roman"/>
          <w:b/>
          <w:i/>
          <w:sz w:val="24"/>
          <w:szCs w:val="24"/>
          <w:lang w:val="en-US"/>
        </w:rPr>
        <w:t xml:space="preserve">by </w:t>
      </w:r>
      <w:r>
        <w:rPr>
          <w:rFonts w:ascii="Times New Roman" w:hAnsi="Times New Roman" w:cs="Times New Roman"/>
          <w:b/>
          <w:i/>
          <w:sz w:val="24"/>
          <w:szCs w:val="24"/>
          <w:lang w:val="en-US"/>
        </w:rPr>
        <w:t xml:space="preserve">a </w:t>
      </w:r>
      <w:r w:rsidRPr="004B3159">
        <w:rPr>
          <w:rFonts w:ascii="Times New Roman" w:hAnsi="Times New Roman" w:cs="Times New Roman"/>
          <w:b/>
          <w:i/>
          <w:sz w:val="24"/>
          <w:szCs w:val="24"/>
          <w:lang w:val="en-US"/>
        </w:rPr>
        <w:t>serious threat to attack his life or body or</w:t>
      </w:r>
      <w:r>
        <w:rPr>
          <w:rFonts w:ascii="Times New Roman" w:hAnsi="Times New Roman" w:cs="Times New Roman"/>
          <w:b/>
          <w:i/>
          <w:sz w:val="24"/>
          <w:szCs w:val="24"/>
          <w:lang w:val="en-US"/>
        </w:rPr>
        <w:t xml:space="preserve"> the</w:t>
      </w:r>
      <w:r w:rsidRPr="004B3159">
        <w:rPr>
          <w:rFonts w:ascii="Times New Roman" w:hAnsi="Times New Roman" w:cs="Times New Roman"/>
          <w:b/>
          <w:i/>
          <w:sz w:val="24"/>
          <w:szCs w:val="24"/>
          <w:lang w:val="en-US"/>
        </w:rPr>
        <w:t xml:space="preserve"> life or body </w:t>
      </w:r>
      <w:r>
        <w:rPr>
          <w:rFonts w:ascii="Times New Roman" w:hAnsi="Times New Roman" w:cs="Times New Roman"/>
          <w:b/>
          <w:i/>
          <w:sz w:val="24"/>
          <w:szCs w:val="24"/>
          <w:lang w:val="en-US"/>
        </w:rPr>
        <w:t>of</w:t>
      </w:r>
      <w:r w:rsidRPr="004B3159">
        <w:rPr>
          <w:rFonts w:ascii="Times New Roman" w:hAnsi="Times New Roman" w:cs="Times New Roman"/>
          <w:b/>
          <w:i/>
          <w:sz w:val="24"/>
          <w:szCs w:val="24"/>
          <w:lang w:val="en-US"/>
        </w:rPr>
        <w:t xml:space="preserve"> a person closely related to him,</w:t>
      </w:r>
      <w:r w:rsidRPr="004B3159">
        <w:rPr>
          <w:rFonts w:ascii="Times New Roman" w:hAnsi="Times New Roman" w:cs="Times New Roman"/>
          <w:i/>
          <w:sz w:val="24"/>
          <w:szCs w:val="24"/>
          <w:lang w:val="en-US"/>
        </w:rPr>
        <w:t xml:space="preserve"> shall be fined or sentenced to six months</w:t>
      </w:r>
      <w:r>
        <w:rPr>
          <w:rFonts w:ascii="Times New Roman" w:hAnsi="Times New Roman" w:cs="Times New Roman"/>
          <w:i/>
          <w:sz w:val="24"/>
          <w:szCs w:val="24"/>
          <w:lang w:val="en-US"/>
        </w:rPr>
        <w:t>’</w:t>
      </w:r>
      <w:r w:rsidRPr="004B3159">
        <w:rPr>
          <w:rFonts w:ascii="Times New Roman" w:hAnsi="Times New Roman" w:cs="Times New Roman"/>
          <w:i/>
          <w:sz w:val="24"/>
          <w:szCs w:val="24"/>
          <w:lang w:val="en-US"/>
        </w:rPr>
        <w:t xml:space="preserve"> imprisonment.</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i/>
          <w:sz w:val="24"/>
          <w:szCs w:val="24"/>
          <w:lang w:val="en-US"/>
        </w:rPr>
      </w:pPr>
      <w:r w:rsidRPr="004B3159">
        <w:rPr>
          <w:rFonts w:ascii="Times New Roman" w:hAnsi="Times New Roman" w:cs="Times New Roman"/>
          <w:i/>
          <w:sz w:val="24"/>
          <w:szCs w:val="24"/>
          <w:lang w:val="en-US"/>
        </w:rPr>
        <w:t xml:space="preserve">Whosoever commits the crime referred to in </w:t>
      </w:r>
      <w:r>
        <w:rPr>
          <w:rFonts w:ascii="Times New Roman" w:hAnsi="Times New Roman" w:cs="Times New Roman"/>
          <w:i/>
          <w:sz w:val="24"/>
          <w:szCs w:val="24"/>
          <w:lang w:val="en-US"/>
        </w:rPr>
        <w:t>P</w:t>
      </w:r>
      <w:r w:rsidRPr="004B3159">
        <w:rPr>
          <w:rFonts w:ascii="Times New Roman" w:hAnsi="Times New Roman" w:cs="Times New Roman"/>
          <w:i/>
          <w:sz w:val="24"/>
          <w:szCs w:val="24"/>
          <w:lang w:val="en-US"/>
        </w:rPr>
        <w:t xml:space="preserve">aragraph 1 while </w:t>
      </w:r>
      <w:r>
        <w:rPr>
          <w:rFonts w:ascii="Times New Roman" w:hAnsi="Times New Roman" w:cs="Times New Roman"/>
          <w:i/>
          <w:sz w:val="24"/>
          <w:szCs w:val="24"/>
          <w:lang w:val="en-US"/>
        </w:rPr>
        <w:t>comitt</w:t>
      </w:r>
      <w:r w:rsidRPr="004B3159">
        <w:rPr>
          <w:rFonts w:ascii="Times New Roman" w:hAnsi="Times New Roman" w:cs="Times New Roman"/>
          <w:i/>
          <w:sz w:val="24"/>
          <w:szCs w:val="24"/>
          <w:lang w:val="en-US"/>
        </w:rPr>
        <w:t>ing family violence shall be sentenced to</w:t>
      </w:r>
      <w:r>
        <w:rPr>
          <w:rFonts w:ascii="Times New Roman" w:hAnsi="Times New Roman" w:cs="Times New Roman"/>
          <w:i/>
          <w:sz w:val="24"/>
          <w:szCs w:val="24"/>
          <w:lang w:val="en-US"/>
        </w:rPr>
        <w:t xml:space="preserve"> an</w:t>
      </w:r>
      <w:r w:rsidRPr="004B3159">
        <w:rPr>
          <w:rFonts w:ascii="Times New Roman" w:hAnsi="Times New Roman" w:cs="Times New Roman"/>
          <w:i/>
          <w:sz w:val="24"/>
          <w:szCs w:val="24"/>
          <w:lang w:val="en-US"/>
        </w:rPr>
        <w:t xml:space="preserve"> imprisonment of three months to three years.</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i/>
          <w:sz w:val="24"/>
          <w:szCs w:val="24"/>
          <w:lang w:val="en-US"/>
        </w:rPr>
      </w:pPr>
      <w:r w:rsidRPr="004B3159">
        <w:rPr>
          <w:rFonts w:ascii="Times New Roman" w:hAnsi="Times New Roman" w:cs="Times New Roman"/>
          <w:i/>
          <w:sz w:val="24"/>
          <w:szCs w:val="24"/>
          <w:lang w:val="en-US"/>
        </w:rPr>
        <w:t xml:space="preserve">The sentence stipulated in </w:t>
      </w:r>
      <w:r>
        <w:rPr>
          <w:rFonts w:ascii="Times New Roman" w:hAnsi="Times New Roman" w:cs="Times New Roman"/>
          <w:i/>
          <w:sz w:val="24"/>
          <w:szCs w:val="24"/>
          <w:lang w:val="en-US"/>
        </w:rPr>
        <w:t>P</w:t>
      </w:r>
      <w:r w:rsidRPr="004B3159">
        <w:rPr>
          <w:rFonts w:ascii="Times New Roman" w:hAnsi="Times New Roman" w:cs="Times New Roman"/>
          <w:i/>
          <w:sz w:val="24"/>
          <w:szCs w:val="24"/>
          <w:lang w:val="en-US"/>
        </w:rPr>
        <w:t xml:space="preserve">aragraph 2 shall be imposed on the person that commits the crime stipulated in </w:t>
      </w:r>
      <w:r>
        <w:rPr>
          <w:rFonts w:ascii="Times New Roman" w:hAnsi="Times New Roman" w:cs="Times New Roman"/>
          <w:i/>
          <w:sz w:val="24"/>
          <w:szCs w:val="24"/>
          <w:lang w:val="en-US"/>
        </w:rPr>
        <w:t>P</w:t>
      </w:r>
      <w:r w:rsidRPr="004B3159">
        <w:rPr>
          <w:rFonts w:ascii="Times New Roman" w:hAnsi="Times New Roman" w:cs="Times New Roman"/>
          <w:i/>
          <w:sz w:val="24"/>
          <w:szCs w:val="24"/>
          <w:lang w:val="en-US"/>
        </w:rPr>
        <w:t xml:space="preserve">aragraph 1 against an official while performing </w:t>
      </w:r>
      <w:r>
        <w:rPr>
          <w:rFonts w:ascii="Times New Roman" w:hAnsi="Times New Roman" w:cs="Times New Roman"/>
          <w:i/>
          <w:sz w:val="24"/>
          <w:szCs w:val="24"/>
          <w:lang w:val="en-US"/>
        </w:rPr>
        <w:t>his/her</w:t>
      </w:r>
      <w:r w:rsidRPr="004B3159">
        <w:rPr>
          <w:rFonts w:ascii="Times New Roman" w:hAnsi="Times New Roman" w:cs="Times New Roman"/>
          <w:i/>
          <w:sz w:val="24"/>
          <w:szCs w:val="24"/>
          <w:lang w:val="en-US"/>
        </w:rPr>
        <w:t xml:space="preserve"> duty, or against several persons.</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sz w:val="24"/>
          <w:szCs w:val="24"/>
          <w:lang w:val="en-US"/>
        </w:rPr>
      </w:pPr>
      <w:r w:rsidRPr="004B3159">
        <w:rPr>
          <w:rFonts w:ascii="Times New Roman" w:hAnsi="Times New Roman" w:cs="Times New Roman"/>
          <w:i/>
          <w:sz w:val="24"/>
          <w:szCs w:val="24"/>
          <w:lang w:val="en-US"/>
        </w:rPr>
        <w:t xml:space="preserve">Whosoever, </w:t>
      </w:r>
      <w:r w:rsidRPr="004B3159">
        <w:rPr>
          <w:rFonts w:ascii="Times New Roman" w:hAnsi="Times New Roman" w:cs="Times New Roman"/>
          <w:b/>
          <w:i/>
          <w:sz w:val="24"/>
          <w:szCs w:val="24"/>
          <w:lang w:val="en-US"/>
        </w:rPr>
        <w:t>by means of</w:t>
      </w:r>
      <w:r>
        <w:rPr>
          <w:rFonts w:ascii="Times New Roman" w:hAnsi="Times New Roman" w:cs="Times New Roman"/>
          <w:b/>
          <w:i/>
          <w:sz w:val="24"/>
          <w:szCs w:val="24"/>
          <w:lang w:val="en-US"/>
        </w:rPr>
        <w:t xml:space="preserve"> an</w:t>
      </w:r>
      <w:r w:rsidRPr="004B3159">
        <w:rPr>
          <w:rFonts w:ascii="Times New Roman" w:hAnsi="Times New Roman" w:cs="Times New Roman"/>
          <w:b/>
          <w:i/>
          <w:sz w:val="24"/>
          <w:szCs w:val="24"/>
          <w:lang w:val="en-US"/>
        </w:rPr>
        <w:t xml:space="preserve"> information system</w:t>
      </w:r>
      <w:r>
        <w:rPr>
          <w:rFonts w:ascii="Times New Roman" w:hAnsi="Times New Roman" w:cs="Times New Roman"/>
          <w:b/>
          <w:i/>
          <w:sz w:val="24"/>
          <w:szCs w:val="24"/>
          <w:lang w:val="en-US"/>
        </w:rPr>
        <w:t>,</w:t>
      </w:r>
      <w:r w:rsidRPr="004B3159">
        <w:rPr>
          <w:rFonts w:ascii="Times New Roman" w:hAnsi="Times New Roman" w:cs="Times New Roman"/>
          <w:b/>
          <w:i/>
          <w:sz w:val="24"/>
          <w:szCs w:val="24"/>
          <w:lang w:val="en-US"/>
        </w:rPr>
        <w:t xml:space="preserve"> threatens to commit a crime </w:t>
      </w:r>
      <w:r>
        <w:rPr>
          <w:rFonts w:ascii="Times New Roman" w:hAnsi="Times New Roman" w:cs="Times New Roman"/>
          <w:b/>
          <w:i/>
          <w:sz w:val="24"/>
          <w:szCs w:val="24"/>
          <w:lang w:val="en-US"/>
        </w:rPr>
        <w:t xml:space="preserve">entailing a sentence of </w:t>
      </w:r>
      <w:r w:rsidRPr="004B3159">
        <w:rPr>
          <w:rFonts w:ascii="Times New Roman" w:hAnsi="Times New Roman" w:cs="Times New Roman"/>
          <w:b/>
          <w:i/>
          <w:sz w:val="24"/>
          <w:szCs w:val="24"/>
          <w:lang w:val="en-US"/>
        </w:rPr>
        <w:t>five years</w:t>
      </w:r>
      <w:r>
        <w:rPr>
          <w:rFonts w:ascii="Times New Roman" w:hAnsi="Times New Roman" w:cs="Times New Roman"/>
          <w:b/>
          <w:i/>
          <w:sz w:val="24"/>
          <w:szCs w:val="24"/>
          <w:lang w:val="en-US"/>
        </w:rPr>
        <w:t>’</w:t>
      </w:r>
      <w:r w:rsidRPr="004B3159">
        <w:rPr>
          <w:rFonts w:ascii="Times New Roman" w:hAnsi="Times New Roman" w:cs="Times New Roman"/>
          <w:b/>
          <w:i/>
          <w:sz w:val="24"/>
          <w:szCs w:val="24"/>
          <w:lang w:val="en-US"/>
        </w:rPr>
        <w:t xml:space="preserve"> imprisonment or </w:t>
      </w:r>
      <w:r>
        <w:rPr>
          <w:rFonts w:ascii="Times New Roman" w:hAnsi="Times New Roman" w:cs="Times New Roman"/>
          <w:b/>
          <w:i/>
          <w:sz w:val="24"/>
          <w:szCs w:val="24"/>
          <w:lang w:val="en-US"/>
        </w:rPr>
        <w:t xml:space="preserve">a </w:t>
      </w:r>
      <w:r w:rsidRPr="004B3159">
        <w:rPr>
          <w:rFonts w:ascii="Times New Roman" w:hAnsi="Times New Roman" w:cs="Times New Roman"/>
          <w:b/>
          <w:i/>
          <w:sz w:val="24"/>
          <w:szCs w:val="24"/>
          <w:lang w:val="en-US"/>
        </w:rPr>
        <w:t>more serious sentence against a person because of their gender, race, colo</w:t>
      </w:r>
      <w:r>
        <w:rPr>
          <w:rFonts w:ascii="Times New Roman" w:hAnsi="Times New Roman" w:cs="Times New Roman"/>
          <w:b/>
          <w:i/>
          <w:sz w:val="24"/>
          <w:szCs w:val="24"/>
          <w:lang w:val="en-US"/>
        </w:rPr>
        <w:t>u</w:t>
      </w:r>
      <w:r w:rsidRPr="004B3159">
        <w:rPr>
          <w:rFonts w:ascii="Times New Roman" w:hAnsi="Times New Roman" w:cs="Times New Roman"/>
          <w:b/>
          <w:i/>
          <w:sz w:val="24"/>
          <w:szCs w:val="24"/>
          <w:lang w:val="en-US"/>
        </w:rPr>
        <w:t>r of the skin, class, member</w:t>
      </w:r>
      <w:r>
        <w:rPr>
          <w:rFonts w:ascii="Times New Roman" w:hAnsi="Times New Roman" w:cs="Times New Roman"/>
          <w:b/>
          <w:i/>
          <w:sz w:val="24"/>
          <w:szCs w:val="24"/>
          <w:lang w:val="en-US"/>
        </w:rPr>
        <w:t>ship</w:t>
      </w:r>
      <w:r w:rsidRPr="004B3159">
        <w:rPr>
          <w:rFonts w:ascii="Times New Roman" w:hAnsi="Times New Roman" w:cs="Times New Roman"/>
          <w:b/>
          <w:i/>
          <w:sz w:val="24"/>
          <w:szCs w:val="24"/>
          <w:lang w:val="en-US"/>
        </w:rPr>
        <w:t xml:space="preserve"> of </w:t>
      </w:r>
      <w:r>
        <w:rPr>
          <w:rFonts w:ascii="Times New Roman" w:hAnsi="Times New Roman" w:cs="Times New Roman"/>
          <w:b/>
          <w:i/>
          <w:sz w:val="24"/>
          <w:szCs w:val="24"/>
          <w:lang w:val="en-US"/>
        </w:rPr>
        <w:t xml:space="preserve">a </w:t>
      </w:r>
      <w:r w:rsidRPr="004B3159">
        <w:rPr>
          <w:rFonts w:ascii="Times New Roman" w:hAnsi="Times New Roman" w:cs="Times New Roman"/>
          <w:b/>
          <w:i/>
          <w:sz w:val="24"/>
          <w:szCs w:val="24"/>
          <w:lang w:val="en-US"/>
        </w:rPr>
        <w:t xml:space="preserve">marginalized group, ethnic background, language, nationality, social origin, religious belief, other beliefs, education, political affiliation, personal or social status, mental or physical impairment, age, family or marital status, property status, health condition, or any other ground foreseen by law or </w:t>
      </w:r>
      <w:r>
        <w:rPr>
          <w:rFonts w:ascii="Times New Roman" w:hAnsi="Times New Roman" w:cs="Times New Roman"/>
          <w:b/>
          <w:i/>
          <w:sz w:val="24"/>
          <w:szCs w:val="24"/>
          <w:lang w:val="en-US"/>
        </w:rPr>
        <w:t xml:space="preserve">a </w:t>
      </w:r>
      <w:r w:rsidRPr="004B3159">
        <w:rPr>
          <w:rFonts w:ascii="Times New Roman" w:hAnsi="Times New Roman" w:cs="Times New Roman"/>
          <w:b/>
          <w:i/>
          <w:sz w:val="24"/>
          <w:szCs w:val="24"/>
          <w:lang w:val="en-US"/>
        </w:rPr>
        <w:t>ratified international agreement</w:t>
      </w:r>
      <w:r w:rsidRPr="004B3159">
        <w:rPr>
          <w:rFonts w:ascii="Times New Roman" w:hAnsi="Times New Roman" w:cs="Times New Roman"/>
          <w:i/>
          <w:sz w:val="24"/>
          <w:szCs w:val="24"/>
          <w:lang w:val="en-US"/>
        </w:rPr>
        <w:t>, shall be sentenced to</w:t>
      </w:r>
      <w:r>
        <w:rPr>
          <w:rFonts w:ascii="Times New Roman" w:hAnsi="Times New Roman" w:cs="Times New Roman"/>
          <w:i/>
          <w:sz w:val="24"/>
          <w:szCs w:val="24"/>
          <w:lang w:val="en-US"/>
        </w:rPr>
        <w:t xml:space="preserve"> an</w:t>
      </w:r>
      <w:r w:rsidRPr="004B3159">
        <w:rPr>
          <w:rFonts w:ascii="Times New Roman" w:hAnsi="Times New Roman" w:cs="Times New Roman"/>
          <w:i/>
          <w:sz w:val="24"/>
          <w:szCs w:val="24"/>
          <w:lang w:val="en-US"/>
        </w:rPr>
        <w:t xml:space="preserve"> imprisonment of one to five years</w:t>
      </w:r>
      <w:r w:rsidRPr="004B3159">
        <w:rPr>
          <w:rFonts w:ascii="Times New Roman" w:hAnsi="Times New Roman" w:cs="Times New Roman"/>
          <w:sz w:val="24"/>
          <w:szCs w:val="24"/>
          <w:lang w:val="en-US"/>
        </w:rPr>
        <w:t>. </w:t>
      </w:r>
    </w:p>
    <w:p w:rsidR="009962E3" w:rsidRPr="004B3159" w:rsidRDefault="009962E3" w:rsidP="004B3159">
      <w:pPr>
        <w:spacing w:before="100" w:beforeAutospacing="1" w:after="100" w:afterAutospacing="1" w:line="240" w:lineRule="auto"/>
        <w:jc w:val="both"/>
        <w:rPr>
          <w:rFonts w:ascii="Times New Roman" w:hAnsi="Times New Roman" w:cs="Times New Roman"/>
          <w:sz w:val="24"/>
          <w:szCs w:val="24"/>
          <w:lang w:val="en-US"/>
        </w:rPr>
      </w:pPr>
      <w:r w:rsidRPr="004B3159">
        <w:rPr>
          <w:rFonts w:ascii="Times New Roman" w:hAnsi="Times New Roman" w:cs="Times New Roman"/>
          <w:sz w:val="24"/>
          <w:szCs w:val="24"/>
          <w:lang w:val="en-US"/>
        </w:rPr>
        <w:t xml:space="preserve">In addition, Article </w:t>
      </w:r>
      <w:r w:rsidRPr="004B3159">
        <w:rPr>
          <w:rFonts w:ascii="Times New Roman" w:hAnsi="Times New Roman" w:cs="Times New Roman"/>
          <w:sz w:val="24"/>
          <w:szCs w:val="24"/>
          <w:lang w:val="sr-Cyrl-CS"/>
        </w:rPr>
        <w:t>319</w:t>
      </w:r>
      <w:r w:rsidRPr="004B3159">
        <w:rPr>
          <w:rFonts w:ascii="Times New Roman" w:hAnsi="Times New Roman" w:cs="Times New Roman"/>
          <w:sz w:val="24"/>
          <w:szCs w:val="24"/>
          <w:lang w:val="en-US"/>
        </w:rPr>
        <w:t xml:space="preserve"> describes the crime that is </w:t>
      </w:r>
      <w:r w:rsidRPr="004B3159">
        <w:rPr>
          <w:rFonts w:ascii="Times New Roman" w:hAnsi="Times New Roman" w:cs="Times New Roman"/>
          <w:b/>
          <w:sz w:val="24"/>
          <w:szCs w:val="24"/>
          <w:lang w:val="en-US"/>
        </w:rPr>
        <w:t>c</w:t>
      </w:r>
      <w:r w:rsidRPr="004B3159">
        <w:rPr>
          <w:rFonts w:ascii="Times New Roman" w:hAnsi="Times New Roman" w:cs="Times New Roman"/>
          <w:b/>
          <w:bCs/>
          <w:sz w:val="24"/>
          <w:szCs w:val="24"/>
          <w:lang w:val="en-US"/>
        </w:rPr>
        <w:t>ausing hatred, discord or intolerance on national, racial, religious or any other discriminatory ground</w:t>
      </w:r>
      <w:r>
        <w:rPr>
          <w:rFonts w:ascii="Times New Roman" w:hAnsi="Times New Roman" w:cs="Times New Roman"/>
          <w:b/>
          <w:bCs/>
          <w:sz w:val="24"/>
          <w:szCs w:val="24"/>
          <w:lang w:val="en-US"/>
        </w:rPr>
        <w:t>s</w:t>
      </w:r>
      <w:r w:rsidRPr="004B3159">
        <w:rPr>
          <w:rFonts w:ascii="Times New Roman" w:hAnsi="Times New Roman" w:cs="Times New Roman"/>
          <w:bCs/>
          <w:sz w:val="24"/>
          <w:szCs w:val="24"/>
          <w:lang w:val="en-US"/>
        </w:rPr>
        <w:t xml:space="preserve"> in the following way:</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sz w:val="24"/>
          <w:szCs w:val="24"/>
          <w:lang w:val="en-US"/>
        </w:rPr>
      </w:pPr>
      <w:r w:rsidRPr="004B3159">
        <w:rPr>
          <w:rFonts w:ascii="Times New Roman" w:hAnsi="Times New Roman" w:cs="Times New Roman"/>
          <w:i/>
          <w:sz w:val="24"/>
          <w:szCs w:val="24"/>
          <w:lang w:val="en-US"/>
        </w:rPr>
        <w:t xml:space="preserve">Whosoever </w:t>
      </w:r>
      <w:r w:rsidRPr="004B3159">
        <w:rPr>
          <w:rFonts w:ascii="Times New Roman" w:hAnsi="Times New Roman" w:cs="Times New Roman"/>
          <w:b/>
          <w:i/>
          <w:sz w:val="24"/>
          <w:szCs w:val="24"/>
          <w:lang w:val="en-US"/>
        </w:rPr>
        <w:t xml:space="preserve">by force, maltreatment, endangering the security, mocking the national, ethnic, religious and other symbols, by burning, destroying or in any other manner damaging the flag of </w:t>
      </w:r>
      <w:r>
        <w:rPr>
          <w:rFonts w:ascii="Times New Roman" w:hAnsi="Times New Roman" w:cs="Times New Roman"/>
          <w:b/>
          <w:i/>
          <w:sz w:val="24"/>
          <w:szCs w:val="24"/>
          <w:lang w:val="en-US"/>
        </w:rPr>
        <w:t xml:space="preserve">the Republic of </w:t>
      </w:r>
      <w:r w:rsidRPr="004B3159">
        <w:rPr>
          <w:rFonts w:ascii="Times New Roman" w:hAnsi="Times New Roman" w:cs="Times New Roman"/>
          <w:b/>
          <w:i/>
          <w:sz w:val="24"/>
          <w:szCs w:val="24"/>
          <w:lang w:val="en-US"/>
        </w:rPr>
        <w:t>Macedonia or</w:t>
      </w:r>
      <w:r>
        <w:rPr>
          <w:rFonts w:ascii="Times New Roman" w:hAnsi="Times New Roman" w:cs="Times New Roman"/>
          <w:b/>
          <w:i/>
          <w:sz w:val="24"/>
          <w:szCs w:val="24"/>
          <w:lang w:val="en-US"/>
        </w:rPr>
        <w:t xml:space="preserve"> the</w:t>
      </w:r>
      <w:r w:rsidRPr="004B3159">
        <w:rPr>
          <w:rFonts w:ascii="Times New Roman" w:hAnsi="Times New Roman" w:cs="Times New Roman"/>
          <w:b/>
          <w:i/>
          <w:sz w:val="24"/>
          <w:szCs w:val="24"/>
          <w:lang w:val="en-US"/>
        </w:rPr>
        <w:t xml:space="preserve"> flags of other states, by damaging other people's objects, by desecratin</w:t>
      </w:r>
      <w:r>
        <w:rPr>
          <w:rFonts w:ascii="Times New Roman" w:hAnsi="Times New Roman" w:cs="Times New Roman"/>
          <w:b/>
          <w:i/>
          <w:sz w:val="24"/>
          <w:szCs w:val="24"/>
          <w:lang w:val="en-US"/>
        </w:rPr>
        <w:t>g</w:t>
      </w:r>
      <w:r w:rsidRPr="004B3159">
        <w:rPr>
          <w:rFonts w:ascii="Times New Roman" w:hAnsi="Times New Roman" w:cs="Times New Roman"/>
          <w:b/>
          <w:i/>
          <w:sz w:val="24"/>
          <w:szCs w:val="24"/>
          <w:lang w:val="en-US"/>
        </w:rPr>
        <w:t xml:space="preserve"> monuments, graves, or in any other discriminatory manner, directly or indirectly, causes or excites hatred, discord or intolerance on</w:t>
      </w:r>
      <w:r>
        <w:rPr>
          <w:rFonts w:ascii="Times New Roman" w:hAnsi="Times New Roman" w:cs="Times New Roman"/>
          <w:b/>
          <w:i/>
          <w:sz w:val="24"/>
          <w:szCs w:val="24"/>
          <w:lang w:val="en-US"/>
        </w:rPr>
        <w:t xml:space="preserve"> the</w:t>
      </w:r>
      <w:r w:rsidRPr="004B3159">
        <w:rPr>
          <w:rFonts w:ascii="Times New Roman" w:hAnsi="Times New Roman" w:cs="Times New Roman"/>
          <w:b/>
          <w:i/>
          <w:sz w:val="24"/>
          <w:szCs w:val="24"/>
          <w:lang w:val="en-US"/>
        </w:rPr>
        <w:t xml:space="preserve"> grounds of gender, race, colo</w:t>
      </w:r>
      <w:r>
        <w:rPr>
          <w:rFonts w:ascii="Times New Roman" w:hAnsi="Times New Roman" w:cs="Times New Roman"/>
          <w:b/>
          <w:i/>
          <w:sz w:val="24"/>
          <w:szCs w:val="24"/>
          <w:lang w:val="en-US"/>
        </w:rPr>
        <w:t>u</w:t>
      </w:r>
      <w:r w:rsidRPr="004B3159">
        <w:rPr>
          <w:rFonts w:ascii="Times New Roman" w:hAnsi="Times New Roman" w:cs="Times New Roman"/>
          <w:b/>
          <w:i/>
          <w:sz w:val="24"/>
          <w:szCs w:val="24"/>
          <w:lang w:val="en-US"/>
        </w:rPr>
        <w:t xml:space="preserve">r of the skin, membership in </w:t>
      </w:r>
      <w:r>
        <w:rPr>
          <w:rFonts w:ascii="Times New Roman" w:hAnsi="Times New Roman" w:cs="Times New Roman"/>
          <w:b/>
          <w:i/>
          <w:sz w:val="24"/>
          <w:szCs w:val="24"/>
          <w:lang w:val="en-US"/>
        </w:rPr>
        <w:t xml:space="preserve">a </w:t>
      </w:r>
      <w:r w:rsidRPr="004B3159">
        <w:rPr>
          <w:rFonts w:ascii="Times New Roman" w:hAnsi="Times New Roman" w:cs="Times New Roman"/>
          <w:b/>
          <w:i/>
          <w:sz w:val="24"/>
          <w:szCs w:val="24"/>
          <w:lang w:val="en-US"/>
        </w:rPr>
        <w:t>marginalized group, ethnic membership, language, nationality, social background, religious belief, other beliefs, education, political affiliation, personal or social status, mental or physical impairment, age, family or marital status, property status, health condition</w:t>
      </w:r>
      <w:r w:rsidRPr="004B3159">
        <w:rPr>
          <w:rFonts w:ascii="Times New Roman" w:hAnsi="Times New Roman" w:cs="Times New Roman"/>
          <w:i/>
          <w:sz w:val="24"/>
          <w:szCs w:val="24"/>
          <w:lang w:val="en-US"/>
        </w:rPr>
        <w:t xml:space="preserve">, or </w:t>
      </w:r>
      <w:r>
        <w:rPr>
          <w:rFonts w:ascii="Times New Roman" w:hAnsi="Times New Roman" w:cs="Times New Roman"/>
          <w:i/>
          <w:sz w:val="24"/>
          <w:szCs w:val="24"/>
          <w:lang w:val="en-US"/>
        </w:rPr>
        <w:t>o</w:t>
      </w:r>
      <w:r w:rsidRPr="004B3159">
        <w:rPr>
          <w:rFonts w:ascii="Times New Roman" w:hAnsi="Times New Roman" w:cs="Times New Roman"/>
          <w:i/>
          <w:sz w:val="24"/>
          <w:szCs w:val="24"/>
          <w:lang w:val="en-US"/>
        </w:rPr>
        <w:t>n any other ground foreseen by law o</w:t>
      </w:r>
      <w:r>
        <w:rPr>
          <w:rFonts w:ascii="Times New Roman" w:hAnsi="Times New Roman" w:cs="Times New Roman"/>
          <w:i/>
          <w:sz w:val="24"/>
          <w:szCs w:val="24"/>
          <w:lang w:val="en-US"/>
        </w:rPr>
        <w:t>r a</w:t>
      </w:r>
      <w:r w:rsidRPr="004B3159">
        <w:rPr>
          <w:rFonts w:ascii="Times New Roman" w:hAnsi="Times New Roman" w:cs="Times New Roman"/>
          <w:i/>
          <w:sz w:val="24"/>
          <w:szCs w:val="24"/>
          <w:lang w:val="en-US"/>
        </w:rPr>
        <w:t xml:space="preserve"> ratified international agreement, shall be sentenced to</w:t>
      </w:r>
      <w:r>
        <w:rPr>
          <w:rFonts w:ascii="Times New Roman" w:hAnsi="Times New Roman" w:cs="Times New Roman"/>
          <w:i/>
          <w:sz w:val="24"/>
          <w:szCs w:val="24"/>
          <w:lang w:val="en-US"/>
        </w:rPr>
        <w:t xml:space="preserve"> an</w:t>
      </w:r>
      <w:r w:rsidRPr="004B3159">
        <w:rPr>
          <w:rFonts w:ascii="Times New Roman" w:hAnsi="Times New Roman" w:cs="Times New Roman"/>
          <w:i/>
          <w:sz w:val="24"/>
          <w:szCs w:val="24"/>
          <w:lang w:val="en-US"/>
        </w:rPr>
        <w:t xml:space="preserve"> imprisonment of one to five years</w:t>
      </w:r>
      <w:r w:rsidRPr="004B3159">
        <w:rPr>
          <w:rFonts w:ascii="Times New Roman" w:hAnsi="Times New Roman" w:cs="Times New Roman"/>
          <w:sz w:val="24"/>
          <w:szCs w:val="24"/>
          <w:lang w:val="en-US"/>
        </w:rPr>
        <w:t>.</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sz w:val="24"/>
          <w:szCs w:val="24"/>
          <w:lang w:val="en-US"/>
        </w:rPr>
      </w:pPr>
      <w:r w:rsidRPr="004B3159">
        <w:rPr>
          <w:rFonts w:ascii="Times New Roman" w:hAnsi="Times New Roman" w:cs="Times New Roman"/>
          <w:i/>
          <w:sz w:val="24"/>
          <w:szCs w:val="24"/>
          <w:lang w:val="en-US"/>
        </w:rPr>
        <w:t xml:space="preserve">Whosoever commits the crime referred to in </w:t>
      </w:r>
      <w:r>
        <w:rPr>
          <w:rFonts w:ascii="Times New Roman" w:hAnsi="Times New Roman" w:cs="Times New Roman"/>
          <w:i/>
          <w:sz w:val="24"/>
          <w:szCs w:val="24"/>
          <w:lang w:val="en-US"/>
        </w:rPr>
        <w:t>P</w:t>
      </w:r>
      <w:r w:rsidRPr="004B3159">
        <w:rPr>
          <w:rFonts w:ascii="Times New Roman" w:hAnsi="Times New Roman" w:cs="Times New Roman"/>
          <w:i/>
          <w:sz w:val="24"/>
          <w:szCs w:val="24"/>
          <w:lang w:val="en-US"/>
        </w:rPr>
        <w:t>aragraph (1) of this Article by abusing his position or authorization, or if these crimes</w:t>
      </w:r>
      <w:r>
        <w:rPr>
          <w:rFonts w:ascii="Times New Roman" w:hAnsi="Times New Roman" w:cs="Times New Roman"/>
          <w:i/>
          <w:sz w:val="24"/>
          <w:szCs w:val="24"/>
          <w:lang w:val="en-US"/>
        </w:rPr>
        <w:t xml:space="preserve"> led to</w:t>
      </w:r>
      <w:r w:rsidRPr="004B3159">
        <w:rPr>
          <w:rFonts w:ascii="Times New Roman" w:hAnsi="Times New Roman" w:cs="Times New Roman"/>
          <w:i/>
          <w:sz w:val="24"/>
          <w:szCs w:val="24"/>
          <w:lang w:val="en-US"/>
        </w:rPr>
        <w:t xml:space="preserve"> riots and violence against people or property damage</w:t>
      </w:r>
      <w:r>
        <w:rPr>
          <w:rFonts w:ascii="Times New Roman" w:hAnsi="Times New Roman" w:cs="Times New Roman"/>
          <w:i/>
          <w:sz w:val="24"/>
          <w:szCs w:val="24"/>
          <w:lang w:val="en-US"/>
        </w:rPr>
        <w:t xml:space="preserve"> of great proportions</w:t>
      </w:r>
      <w:r w:rsidRPr="004B3159">
        <w:rPr>
          <w:rFonts w:ascii="Times New Roman" w:hAnsi="Times New Roman" w:cs="Times New Roman"/>
          <w:i/>
          <w:sz w:val="24"/>
          <w:szCs w:val="24"/>
          <w:lang w:val="en-US"/>
        </w:rPr>
        <w:t>, shall be sentenced to imprisonment of one to ten years</w:t>
      </w:r>
      <w:r w:rsidRPr="004B3159">
        <w:rPr>
          <w:rFonts w:ascii="Times New Roman" w:hAnsi="Times New Roman" w:cs="Times New Roman"/>
          <w:sz w:val="24"/>
          <w:szCs w:val="24"/>
          <w:lang w:val="en-US"/>
        </w:rPr>
        <w:t>.</w:t>
      </w:r>
    </w:p>
    <w:p w:rsidR="009962E3" w:rsidRPr="004B3159" w:rsidRDefault="009962E3" w:rsidP="004B3159">
      <w:pPr>
        <w:spacing w:before="100" w:beforeAutospacing="1" w:after="100" w:afterAutospacing="1" w:line="240" w:lineRule="auto"/>
        <w:jc w:val="both"/>
        <w:rPr>
          <w:rFonts w:ascii="Times New Roman" w:hAnsi="Times New Roman" w:cs="Times New Roman"/>
          <w:b/>
          <w:bCs/>
          <w:sz w:val="24"/>
          <w:szCs w:val="24"/>
          <w:lang w:val="en-US"/>
        </w:rPr>
      </w:pPr>
      <w:r w:rsidRPr="004B3159">
        <w:rPr>
          <w:rFonts w:ascii="Times New Roman" w:hAnsi="Times New Roman" w:cs="Times New Roman"/>
          <w:sz w:val="24"/>
          <w:szCs w:val="24"/>
          <w:lang w:val="en-US"/>
        </w:rPr>
        <w:t xml:space="preserve">Article </w:t>
      </w:r>
      <w:r w:rsidRPr="004B3159">
        <w:rPr>
          <w:rFonts w:ascii="Times New Roman" w:hAnsi="Times New Roman" w:cs="Times New Roman"/>
          <w:sz w:val="24"/>
          <w:szCs w:val="24"/>
          <w:lang w:val="sr-Cyrl-CS"/>
        </w:rPr>
        <w:t>394(</w:t>
      </w:r>
      <w:r>
        <w:rPr>
          <w:rFonts w:ascii="Times New Roman" w:hAnsi="Times New Roman" w:cs="Times New Roman"/>
          <w:i/>
          <w:sz w:val="24"/>
          <w:szCs w:val="24"/>
          <w:lang w:val="en-US"/>
        </w:rPr>
        <w:t>g</w:t>
      </w:r>
      <w:r w:rsidRPr="004B3159">
        <w:rPr>
          <w:rFonts w:ascii="Times New Roman" w:hAnsi="Times New Roman" w:cs="Times New Roman"/>
          <w:sz w:val="24"/>
          <w:szCs w:val="24"/>
          <w:lang w:val="sr-Cyrl-CS"/>
        </w:rPr>
        <w:t xml:space="preserve">) </w:t>
      </w:r>
      <w:r w:rsidRPr="004B3159">
        <w:rPr>
          <w:rFonts w:ascii="Times New Roman" w:hAnsi="Times New Roman" w:cs="Times New Roman"/>
          <w:sz w:val="24"/>
          <w:szCs w:val="24"/>
          <w:lang w:val="en-US"/>
        </w:rPr>
        <w:t>de</w:t>
      </w:r>
      <w:r>
        <w:rPr>
          <w:rFonts w:ascii="Times New Roman" w:hAnsi="Times New Roman" w:cs="Times New Roman"/>
          <w:sz w:val="24"/>
          <w:szCs w:val="24"/>
          <w:lang w:val="en-US"/>
        </w:rPr>
        <w:t>s</w:t>
      </w:r>
      <w:r w:rsidRPr="004B3159">
        <w:rPr>
          <w:rFonts w:ascii="Times New Roman" w:hAnsi="Times New Roman" w:cs="Times New Roman"/>
          <w:sz w:val="24"/>
          <w:szCs w:val="24"/>
          <w:lang w:val="en-US"/>
        </w:rPr>
        <w:t xml:space="preserve">cribes the criminal act of </w:t>
      </w:r>
      <w:r w:rsidRPr="004B3159">
        <w:rPr>
          <w:rFonts w:ascii="Times New Roman" w:hAnsi="Times New Roman" w:cs="Times New Roman"/>
          <w:b/>
          <w:sz w:val="24"/>
          <w:szCs w:val="24"/>
          <w:lang w:val="en-US"/>
        </w:rPr>
        <w:t>s</w:t>
      </w:r>
      <w:r w:rsidRPr="004B3159">
        <w:rPr>
          <w:rFonts w:ascii="Times New Roman" w:hAnsi="Times New Roman" w:cs="Times New Roman"/>
          <w:b/>
          <w:bCs/>
          <w:sz w:val="24"/>
          <w:szCs w:val="24"/>
          <w:lang w:val="en-US"/>
        </w:rPr>
        <w:t xml:space="preserve">preading racist and xenophobic material via </w:t>
      </w:r>
      <w:r>
        <w:rPr>
          <w:rFonts w:ascii="Times New Roman" w:hAnsi="Times New Roman" w:cs="Times New Roman"/>
          <w:b/>
          <w:bCs/>
          <w:sz w:val="24"/>
          <w:szCs w:val="24"/>
          <w:lang w:val="en-US"/>
        </w:rPr>
        <w:t xml:space="preserve">an </w:t>
      </w:r>
      <w:r w:rsidRPr="004B3159">
        <w:rPr>
          <w:rFonts w:ascii="Times New Roman" w:hAnsi="Times New Roman" w:cs="Times New Roman"/>
          <w:b/>
          <w:bCs/>
          <w:sz w:val="24"/>
          <w:szCs w:val="24"/>
          <w:lang w:val="en-US"/>
        </w:rPr>
        <w:t>information system, and prescribes</w:t>
      </w:r>
      <w:r>
        <w:rPr>
          <w:rFonts w:ascii="Times New Roman" w:hAnsi="Times New Roman" w:cs="Times New Roman"/>
          <w:b/>
          <w:bCs/>
          <w:sz w:val="24"/>
          <w:szCs w:val="24"/>
          <w:lang w:val="en-US"/>
        </w:rPr>
        <w:t xml:space="preserve"> the following</w:t>
      </w:r>
      <w:r w:rsidRPr="004B3159">
        <w:rPr>
          <w:rFonts w:ascii="Times New Roman" w:hAnsi="Times New Roman" w:cs="Times New Roman"/>
          <w:b/>
          <w:bCs/>
          <w:sz w:val="24"/>
          <w:szCs w:val="24"/>
          <w:lang w:val="en-US"/>
        </w:rPr>
        <w:t>:</w:t>
      </w:r>
    </w:p>
    <w:p w:rsidR="009962E3" w:rsidRPr="004B3159" w:rsidRDefault="009962E3" w:rsidP="004B3159">
      <w:pPr>
        <w:spacing w:before="100" w:beforeAutospacing="1" w:after="100" w:afterAutospacing="1" w:line="240" w:lineRule="auto"/>
        <w:ind w:left="360"/>
        <w:jc w:val="both"/>
        <w:rPr>
          <w:rFonts w:ascii="Times New Roman" w:hAnsi="Times New Roman" w:cs="Times New Roman"/>
          <w:i/>
          <w:sz w:val="24"/>
          <w:szCs w:val="24"/>
          <w:lang w:val="en-US"/>
        </w:rPr>
      </w:pPr>
      <w:r w:rsidRPr="004B3159">
        <w:rPr>
          <w:rFonts w:ascii="Times New Roman" w:hAnsi="Times New Roman" w:cs="Times New Roman"/>
          <w:i/>
          <w:sz w:val="24"/>
          <w:szCs w:val="24"/>
          <w:lang w:val="en-US"/>
        </w:rPr>
        <w:t xml:space="preserve">Whosoever </w:t>
      </w:r>
      <w:r w:rsidRPr="004B3159">
        <w:rPr>
          <w:rFonts w:ascii="Times New Roman" w:hAnsi="Times New Roman" w:cs="Times New Roman"/>
          <w:b/>
          <w:i/>
          <w:sz w:val="24"/>
          <w:szCs w:val="24"/>
          <w:lang w:val="en-US"/>
        </w:rPr>
        <w:t xml:space="preserve">spreads via a computer system racist and xenophobic written material, photo or other representation of an idea or theory helping, promoting or stimulating hatred, discrimination or violence in the public  against </w:t>
      </w:r>
      <w:r>
        <w:rPr>
          <w:rFonts w:ascii="Times New Roman" w:hAnsi="Times New Roman" w:cs="Times New Roman"/>
          <w:b/>
          <w:i/>
          <w:sz w:val="24"/>
          <w:szCs w:val="24"/>
          <w:lang w:val="en-US"/>
        </w:rPr>
        <w:t>any</w:t>
      </w:r>
      <w:r w:rsidRPr="004B3159">
        <w:rPr>
          <w:rFonts w:ascii="Times New Roman" w:hAnsi="Times New Roman" w:cs="Times New Roman"/>
          <w:b/>
          <w:i/>
          <w:sz w:val="24"/>
          <w:szCs w:val="24"/>
          <w:lang w:val="en-US"/>
        </w:rPr>
        <w:t xml:space="preserve"> person or group, based on sex, race, skin colo</w:t>
      </w:r>
      <w:r>
        <w:rPr>
          <w:rFonts w:ascii="Times New Roman" w:hAnsi="Times New Roman" w:cs="Times New Roman"/>
          <w:b/>
          <w:i/>
          <w:sz w:val="24"/>
          <w:szCs w:val="24"/>
          <w:lang w:val="en-US"/>
        </w:rPr>
        <w:t>u</w:t>
      </w:r>
      <w:r w:rsidRPr="004B3159">
        <w:rPr>
          <w:rFonts w:ascii="Times New Roman" w:hAnsi="Times New Roman" w:cs="Times New Roman"/>
          <w:b/>
          <w:i/>
          <w:sz w:val="24"/>
          <w:szCs w:val="24"/>
          <w:lang w:val="en-US"/>
        </w:rPr>
        <w:t>r, class, membership in a marginalized group, ethnic background, language, nationality, social background, religious belief, other types of beliefs, education, political affiliation, personal or social condition, mental or physical disability, age, family or marital status, property status, health condition</w:t>
      </w:r>
      <w:r w:rsidRPr="004B3159">
        <w:rPr>
          <w:rFonts w:ascii="Times New Roman" w:hAnsi="Times New Roman" w:cs="Times New Roman"/>
          <w:i/>
          <w:sz w:val="24"/>
          <w:szCs w:val="24"/>
          <w:lang w:val="en-US"/>
        </w:rPr>
        <w:t>, or any other ground foreseen by law or</w:t>
      </w:r>
      <w:r>
        <w:rPr>
          <w:rFonts w:ascii="Times New Roman" w:hAnsi="Times New Roman" w:cs="Times New Roman"/>
          <w:i/>
          <w:sz w:val="24"/>
          <w:szCs w:val="24"/>
          <w:lang w:val="en-US"/>
        </w:rPr>
        <w:t xml:space="preserve"> a</w:t>
      </w:r>
      <w:r w:rsidRPr="004B3159">
        <w:rPr>
          <w:rFonts w:ascii="Times New Roman" w:hAnsi="Times New Roman" w:cs="Times New Roman"/>
          <w:i/>
          <w:sz w:val="24"/>
          <w:szCs w:val="24"/>
          <w:lang w:val="en-US"/>
        </w:rPr>
        <w:t xml:space="preserve"> ratified international agreement, shall be sentenced to imprisonment of one to five years.</w:t>
      </w:r>
    </w:p>
    <w:p w:rsidR="009962E3" w:rsidRPr="004B3159" w:rsidRDefault="009962E3" w:rsidP="004B3159">
      <w:pPr>
        <w:spacing w:before="100" w:beforeAutospacing="1" w:after="100" w:afterAutospacing="1" w:line="240" w:lineRule="auto"/>
        <w:ind w:left="360"/>
        <w:jc w:val="both"/>
        <w:rPr>
          <w:rFonts w:ascii="Times New Roman" w:hAnsi="Times New Roman" w:cs="Times New Roman"/>
          <w:i/>
          <w:sz w:val="24"/>
          <w:szCs w:val="24"/>
          <w:lang w:val="en-US"/>
        </w:rPr>
      </w:pPr>
      <w:r w:rsidRPr="00790210">
        <w:rPr>
          <w:rFonts w:ascii="Times New Roman" w:hAnsi="Times New Roman" w:cs="Times New Roman"/>
          <w:b/>
          <w:i/>
          <w:sz w:val="24"/>
          <w:szCs w:val="24"/>
          <w:lang w:val="en-US"/>
        </w:rPr>
        <w:t>The sentence referred to shall also be imposed against whosoever commits the crime via other public information means</w:t>
      </w:r>
      <w:r w:rsidRPr="004B3159">
        <w:rPr>
          <w:rFonts w:ascii="Times New Roman" w:hAnsi="Times New Roman" w:cs="Times New Roman"/>
          <w:i/>
          <w:sz w:val="24"/>
          <w:szCs w:val="24"/>
          <w:lang w:val="en-US"/>
        </w:rPr>
        <w:t>.</w:t>
      </w:r>
    </w:p>
    <w:p w:rsidR="009962E3" w:rsidRPr="004B3159" w:rsidRDefault="009962E3" w:rsidP="004B3159">
      <w:pPr>
        <w:spacing w:before="100" w:beforeAutospacing="1" w:after="100" w:afterAutospacing="1" w:line="240" w:lineRule="auto"/>
        <w:ind w:left="360"/>
        <w:jc w:val="both"/>
        <w:rPr>
          <w:rFonts w:ascii="Times New Roman" w:hAnsi="Times New Roman" w:cs="Times New Roman"/>
          <w:sz w:val="24"/>
          <w:szCs w:val="24"/>
          <w:lang w:val="en-US"/>
        </w:rPr>
      </w:pPr>
      <w:r w:rsidRPr="004B3159">
        <w:rPr>
          <w:rFonts w:ascii="Times New Roman" w:hAnsi="Times New Roman" w:cs="Times New Roman"/>
          <w:i/>
          <w:sz w:val="24"/>
          <w:szCs w:val="24"/>
          <w:lang w:val="en-US"/>
        </w:rPr>
        <w:t xml:space="preserve">Whosoever commits the crime </w:t>
      </w:r>
      <w:r>
        <w:rPr>
          <w:rFonts w:ascii="Times New Roman" w:hAnsi="Times New Roman" w:cs="Times New Roman"/>
          <w:i/>
          <w:sz w:val="24"/>
          <w:szCs w:val="24"/>
          <w:lang w:val="en-US"/>
        </w:rPr>
        <w:t>under</w:t>
      </w:r>
      <w:r w:rsidRPr="004B3159">
        <w:rPr>
          <w:rFonts w:ascii="Times New Roman" w:hAnsi="Times New Roman" w:cs="Times New Roman"/>
          <w:i/>
          <w:sz w:val="24"/>
          <w:szCs w:val="24"/>
          <w:lang w:val="en-US"/>
        </w:rPr>
        <w:t xml:space="preserve"> </w:t>
      </w:r>
      <w:r>
        <w:rPr>
          <w:rFonts w:ascii="Times New Roman" w:hAnsi="Times New Roman" w:cs="Times New Roman"/>
          <w:i/>
          <w:sz w:val="24"/>
          <w:szCs w:val="24"/>
          <w:lang w:val="en-US"/>
        </w:rPr>
        <w:t>P</w:t>
      </w:r>
      <w:r w:rsidRPr="004B3159">
        <w:rPr>
          <w:rFonts w:ascii="Times New Roman" w:hAnsi="Times New Roman" w:cs="Times New Roman"/>
          <w:i/>
          <w:sz w:val="24"/>
          <w:szCs w:val="24"/>
          <w:lang w:val="en-US"/>
        </w:rPr>
        <w:t>aragraphs (1) and (2) of this Article by abusing his position or authorization or if th</w:t>
      </w:r>
      <w:r>
        <w:rPr>
          <w:rFonts w:ascii="Times New Roman" w:hAnsi="Times New Roman" w:cs="Times New Roman"/>
          <w:i/>
          <w:sz w:val="24"/>
          <w:szCs w:val="24"/>
          <w:lang w:val="en-US"/>
        </w:rPr>
        <w:t>e</w:t>
      </w:r>
      <w:r w:rsidRPr="004B3159">
        <w:rPr>
          <w:rFonts w:ascii="Times New Roman" w:hAnsi="Times New Roman" w:cs="Times New Roman"/>
          <w:i/>
          <w:sz w:val="24"/>
          <w:szCs w:val="24"/>
          <w:lang w:val="en-US"/>
        </w:rPr>
        <w:t>se crimes result in disorder and violence against people or in property damage of greater extent, shall be sentenced to</w:t>
      </w:r>
      <w:r>
        <w:rPr>
          <w:rFonts w:ascii="Times New Roman" w:hAnsi="Times New Roman" w:cs="Times New Roman"/>
          <w:i/>
          <w:sz w:val="24"/>
          <w:szCs w:val="24"/>
          <w:lang w:val="en-US"/>
        </w:rPr>
        <w:t xml:space="preserve"> an</w:t>
      </w:r>
      <w:r w:rsidRPr="004B3159">
        <w:rPr>
          <w:rFonts w:ascii="Times New Roman" w:hAnsi="Times New Roman" w:cs="Times New Roman"/>
          <w:i/>
          <w:sz w:val="24"/>
          <w:szCs w:val="24"/>
          <w:lang w:val="en-US"/>
        </w:rPr>
        <w:t xml:space="preserve"> imprisonment of one to ten years</w:t>
      </w:r>
      <w:r w:rsidRPr="004B3159">
        <w:rPr>
          <w:rFonts w:ascii="Times New Roman" w:hAnsi="Times New Roman" w:cs="Times New Roman"/>
          <w:sz w:val="24"/>
          <w:szCs w:val="24"/>
          <w:lang w:val="en-US"/>
        </w:rPr>
        <w:t>.</w:t>
      </w:r>
    </w:p>
    <w:p w:rsidR="009962E3" w:rsidRPr="004B3159" w:rsidRDefault="009962E3" w:rsidP="001479DF">
      <w:pPr>
        <w:spacing w:before="100" w:beforeAutospacing="1" w:after="100" w:afterAutospacing="1"/>
        <w:jc w:val="both"/>
        <w:rPr>
          <w:rFonts w:ascii="Times New Roman" w:hAnsi="Times New Roman" w:cs="Times New Roman"/>
          <w:b/>
          <w:bCs/>
          <w:sz w:val="24"/>
          <w:szCs w:val="24"/>
          <w:lang w:val="en-US"/>
        </w:rPr>
      </w:pPr>
      <w:r w:rsidRPr="004B3159">
        <w:rPr>
          <w:rFonts w:ascii="Times New Roman" w:hAnsi="Times New Roman" w:cs="Times New Roman"/>
          <w:sz w:val="24"/>
          <w:szCs w:val="24"/>
          <w:lang w:val="en-US"/>
        </w:rPr>
        <w:t xml:space="preserve">Article </w:t>
      </w:r>
      <w:r w:rsidRPr="004B3159">
        <w:rPr>
          <w:rFonts w:ascii="Times New Roman" w:hAnsi="Times New Roman" w:cs="Times New Roman"/>
          <w:sz w:val="24"/>
          <w:szCs w:val="24"/>
          <w:lang w:val="sr-Cyrl-CS"/>
        </w:rPr>
        <w:t xml:space="preserve">407а </w:t>
      </w:r>
      <w:r w:rsidRPr="004B3159">
        <w:rPr>
          <w:rFonts w:ascii="Times New Roman" w:hAnsi="Times New Roman" w:cs="Times New Roman"/>
          <w:sz w:val="24"/>
          <w:szCs w:val="24"/>
          <w:lang w:val="en-US"/>
        </w:rPr>
        <w:t xml:space="preserve">prevents </w:t>
      </w:r>
      <w:r w:rsidRPr="004B3159">
        <w:rPr>
          <w:rFonts w:ascii="Times New Roman" w:hAnsi="Times New Roman" w:cs="Times New Roman"/>
          <w:b/>
          <w:sz w:val="24"/>
          <w:szCs w:val="24"/>
          <w:lang w:val="en-US"/>
        </w:rPr>
        <w:t>a</w:t>
      </w:r>
      <w:r w:rsidRPr="004B3159">
        <w:rPr>
          <w:rFonts w:ascii="Times New Roman" w:hAnsi="Times New Roman" w:cs="Times New Roman"/>
          <w:b/>
          <w:bCs/>
          <w:sz w:val="24"/>
          <w:szCs w:val="24"/>
          <w:lang w:val="en-US"/>
        </w:rPr>
        <w:t>pproving or justifying genocide, crimes against humanity or war crimes, by regulating it in the following way:</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bCs/>
          <w:i/>
          <w:sz w:val="24"/>
          <w:szCs w:val="24"/>
          <w:lang w:val="en-US"/>
        </w:rPr>
      </w:pPr>
      <w:r w:rsidRPr="004B3159">
        <w:rPr>
          <w:rFonts w:ascii="Times New Roman" w:hAnsi="Times New Roman" w:cs="Times New Roman"/>
          <w:bCs/>
          <w:i/>
          <w:sz w:val="24"/>
          <w:szCs w:val="24"/>
          <w:lang w:val="en-US"/>
        </w:rPr>
        <w:t xml:space="preserve">Whosoever publicly negates, roughly minimizes, approves and justifies the crimes stipulated in Articles 403 to 407, through </w:t>
      </w:r>
      <w:r>
        <w:rPr>
          <w:rFonts w:ascii="Times New Roman" w:hAnsi="Times New Roman" w:cs="Times New Roman"/>
          <w:bCs/>
          <w:i/>
          <w:sz w:val="24"/>
          <w:szCs w:val="24"/>
          <w:lang w:val="en-US"/>
        </w:rPr>
        <w:t xml:space="preserve">an </w:t>
      </w:r>
      <w:r w:rsidRPr="004B3159">
        <w:rPr>
          <w:rFonts w:ascii="Times New Roman" w:hAnsi="Times New Roman" w:cs="Times New Roman"/>
          <w:bCs/>
          <w:i/>
          <w:sz w:val="24"/>
          <w:szCs w:val="24"/>
          <w:lang w:val="en-US"/>
        </w:rPr>
        <w:t>information system</w:t>
      </w:r>
      <w:r>
        <w:rPr>
          <w:rFonts w:ascii="Times New Roman" w:hAnsi="Times New Roman" w:cs="Times New Roman"/>
          <w:bCs/>
          <w:i/>
          <w:sz w:val="24"/>
          <w:szCs w:val="24"/>
          <w:lang w:val="en-US"/>
        </w:rPr>
        <w:t>,</w:t>
      </w:r>
      <w:r w:rsidRPr="004B3159">
        <w:rPr>
          <w:rFonts w:ascii="Times New Roman" w:hAnsi="Times New Roman" w:cs="Times New Roman"/>
          <w:bCs/>
          <w:i/>
          <w:sz w:val="24"/>
          <w:szCs w:val="24"/>
          <w:lang w:val="en-US"/>
        </w:rPr>
        <w:t xml:space="preserve"> shall be sentenced to one to five years</w:t>
      </w:r>
      <w:r>
        <w:rPr>
          <w:rFonts w:ascii="Times New Roman" w:hAnsi="Times New Roman" w:cs="Times New Roman"/>
          <w:bCs/>
          <w:i/>
          <w:sz w:val="24"/>
          <w:szCs w:val="24"/>
          <w:lang w:val="en-US"/>
        </w:rPr>
        <w:t>’</w:t>
      </w:r>
      <w:r w:rsidRPr="004B3159">
        <w:rPr>
          <w:rFonts w:ascii="Times New Roman" w:hAnsi="Times New Roman" w:cs="Times New Roman"/>
          <w:bCs/>
          <w:i/>
          <w:sz w:val="24"/>
          <w:szCs w:val="24"/>
          <w:lang w:val="en-US"/>
        </w:rPr>
        <w:t xml:space="preserve"> imprisonment.</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b/>
          <w:bCs/>
          <w:sz w:val="24"/>
          <w:szCs w:val="24"/>
          <w:lang w:val="en-US"/>
        </w:rPr>
      </w:pPr>
      <w:r w:rsidRPr="004B3159">
        <w:rPr>
          <w:rFonts w:ascii="Times New Roman" w:hAnsi="Times New Roman" w:cs="Times New Roman"/>
          <w:bCs/>
          <w:i/>
          <w:sz w:val="24"/>
          <w:szCs w:val="24"/>
          <w:lang w:val="en-US"/>
        </w:rPr>
        <w:t xml:space="preserve">If the negation, minimizing, approval or justification is performed with the intent to instigate hate, discrimination or violence against a person or </w:t>
      </w:r>
      <w:r>
        <w:rPr>
          <w:rFonts w:ascii="Times New Roman" w:hAnsi="Times New Roman" w:cs="Times New Roman"/>
          <w:bCs/>
          <w:i/>
          <w:sz w:val="24"/>
          <w:szCs w:val="24"/>
          <w:lang w:val="en-US"/>
        </w:rPr>
        <w:t xml:space="preserve">a </w:t>
      </w:r>
      <w:r w:rsidRPr="004B3159">
        <w:rPr>
          <w:rFonts w:ascii="Times New Roman" w:hAnsi="Times New Roman" w:cs="Times New Roman"/>
          <w:bCs/>
          <w:i/>
          <w:sz w:val="24"/>
          <w:szCs w:val="24"/>
          <w:lang w:val="en-US"/>
        </w:rPr>
        <w:t>group of persons due to their national, ethnic or racial origin or religion, the offender shall be sentenced to at least four years</w:t>
      </w:r>
      <w:r>
        <w:rPr>
          <w:rFonts w:ascii="Times New Roman" w:hAnsi="Times New Roman" w:cs="Times New Roman"/>
          <w:bCs/>
          <w:i/>
          <w:sz w:val="24"/>
          <w:szCs w:val="24"/>
          <w:lang w:val="en-US"/>
        </w:rPr>
        <w:t>’</w:t>
      </w:r>
      <w:r w:rsidRPr="004B3159">
        <w:rPr>
          <w:rFonts w:ascii="Times New Roman" w:hAnsi="Times New Roman" w:cs="Times New Roman"/>
          <w:bCs/>
          <w:i/>
          <w:sz w:val="24"/>
          <w:szCs w:val="24"/>
          <w:lang w:val="en-US"/>
        </w:rPr>
        <w:t xml:space="preserve"> imprisonment</w:t>
      </w:r>
      <w:r w:rsidRPr="004B3159">
        <w:rPr>
          <w:rFonts w:ascii="Times New Roman" w:hAnsi="Times New Roman" w:cs="Times New Roman"/>
          <w:b/>
          <w:bCs/>
          <w:sz w:val="24"/>
          <w:szCs w:val="24"/>
          <w:lang w:val="en-US"/>
        </w:rPr>
        <w:t>.</w:t>
      </w:r>
    </w:p>
    <w:p w:rsidR="009962E3" w:rsidRPr="004B3159" w:rsidRDefault="009962E3" w:rsidP="004B3159">
      <w:pPr>
        <w:spacing w:before="100" w:beforeAutospacing="1" w:after="100" w:afterAutospacing="1" w:line="240" w:lineRule="auto"/>
        <w:jc w:val="both"/>
        <w:rPr>
          <w:rFonts w:ascii="Times New Roman" w:hAnsi="Times New Roman" w:cs="Times New Roman"/>
          <w:b/>
          <w:bCs/>
          <w:sz w:val="24"/>
          <w:szCs w:val="24"/>
          <w:lang w:val="en-US"/>
        </w:rPr>
      </w:pPr>
      <w:r w:rsidRPr="004B3159">
        <w:rPr>
          <w:rFonts w:ascii="Times New Roman" w:hAnsi="Times New Roman" w:cs="Times New Roman"/>
          <w:bCs/>
          <w:sz w:val="24"/>
          <w:szCs w:val="24"/>
          <w:lang w:val="en-US"/>
        </w:rPr>
        <w:t>The crimes related to</w:t>
      </w:r>
      <w:r w:rsidRPr="004B3159">
        <w:rPr>
          <w:rFonts w:ascii="Times New Roman" w:hAnsi="Times New Roman" w:cs="Times New Roman"/>
          <w:b/>
          <w:bCs/>
          <w:sz w:val="24"/>
          <w:szCs w:val="24"/>
          <w:lang w:val="en-US"/>
        </w:rPr>
        <w:t xml:space="preserve"> racial or other discrimination </w:t>
      </w:r>
      <w:r w:rsidRPr="004B3159">
        <w:rPr>
          <w:rFonts w:ascii="Times New Roman" w:hAnsi="Times New Roman" w:cs="Times New Roman"/>
          <w:bCs/>
          <w:sz w:val="24"/>
          <w:szCs w:val="24"/>
          <w:lang w:val="en-US"/>
        </w:rPr>
        <w:t>are regulated by Article 417</w:t>
      </w:r>
      <w:r w:rsidRPr="004B3159">
        <w:rPr>
          <w:rFonts w:ascii="Times New Roman" w:hAnsi="Times New Roman" w:cs="Times New Roman"/>
          <w:b/>
          <w:bCs/>
          <w:sz w:val="24"/>
          <w:szCs w:val="24"/>
          <w:lang w:val="en-US"/>
        </w:rPr>
        <w:t>:</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bCs/>
          <w:i/>
          <w:sz w:val="24"/>
          <w:szCs w:val="24"/>
          <w:lang w:val="en-US"/>
        </w:rPr>
      </w:pPr>
      <w:r w:rsidRPr="004B3159">
        <w:rPr>
          <w:rFonts w:ascii="Times New Roman" w:hAnsi="Times New Roman" w:cs="Times New Roman"/>
          <w:b/>
          <w:bCs/>
          <w:i/>
          <w:sz w:val="24"/>
          <w:szCs w:val="24"/>
          <w:lang w:val="en-US"/>
        </w:rPr>
        <w:t>Whosoever violates</w:t>
      </w:r>
      <w:r>
        <w:rPr>
          <w:rFonts w:ascii="Times New Roman" w:hAnsi="Times New Roman" w:cs="Times New Roman"/>
          <w:b/>
          <w:bCs/>
          <w:i/>
          <w:sz w:val="24"/>
          <w:szCs w:val="24"/>
          <w:lang w:val="en-US"/>
        </w:rPr>
        <w:t>,</w:t>
      </w:r>
      <w:r w:rsidRPr="004B3159">
        <w:rPr>
          <w:rFonts w:ascii="Times New Roman" w:hAnsi="Times New Roman" w:cs="Times New Roman"/>
          <w:b/>
          <w:bCs/>
          <w:i/>
          <w:sz w:val="24"/>
          <w:szCs w:val="24"/>
          <w:lang w:val="en-US"/>
        </w:rPr>
        <w:t xml:space="preserve"> based on the difference in sex, race, skin color, class, membership in a marginalized group, ethnic background, language, nationality, social background, religious belief, other types of beliefs, education, political affiliation, personal or social condition, mental or physical disability, age, family or marital status, property status, health condition, or any other ground foreseen by law or </w:t>
      </w:r>
      <w:r>
        <w:rPr>
          <w:rFonts w:ascii="Times New Roman" w:hAnsi="Times New Roman" w:cs="Times New Roman"/>
          <w:b/>
          <w:bCs/>
          <w:i/>
          <w:sz w:val="24"/>
          <w:szCs w:val="24"/>
          <w:lang w:val="en-US"/>
        </w:rPr>
        <w:t xml:space="preserve">a </w:t>
      </w:r>
      <w:r w:rsidRPr="004B3159">
        <w:rPr>
          <w:rFonts w:ascii="Times New Roman" w:hAnsi="Times New Roman" w:cs="Times New Roman"/>
          <w:b/>
          <w:bCs/>
          <w:i/>
          <w:sz w:val="24"/>
          <w:szCs w:val="24"/>
          <w:lang w:val="en-US"/>
        </w:rPr>
        <w:t xml:space="preserve">ratified international agreement, the basic human rights and freedoms acknowledged by the international community, </w:t>
      </w:r>
      <w:r w:rsidRPr="004B3159">
        <w:rPr>
          <w:rFonts w:ascii="Times New Roman" w:hAnsi="Times New Roman" w:cs="Times New Roman"/>
          <w:bCs/>
          <w:i/>
          <w:sz w:val="24"/>
          <w:szCs w:val="24"/>
          <w:lang w:val="en-US"/>
        </w:rPr>
        <w:t>shall be sentenced to six months to five years</w:t>
      </w:r>
      <w:r>
        <w:rPr>
          <w:rFonts w:ascii="Times New Roman" w:hAnsi="Times New Roman" w:cs="Times New Roman"/>
          <w:bCs/>
          <w:i/>
          <w:sz w:val="24"/>
          <w:szCs w:val="24"/>
          <w:lang w:val="en-US"/>
        </w:rPr>
        <w:t>’</w:t>
      </w:r>
      <w:r w:rsidRPr="004B3159">
        <w:rPr>
          <w:rFonts w:ascii="Times New Roman" w:hAnsi="Times New Roman" w:cs="Times New Roman"/>
          <w:bCs/>
          <w:i/>
          <w:sz w:val="24"/>
          <w:szCs w:val="24"/>
          <w:lang w:val="en-US"/>
        </w:rPr>
        <w:t xml:space="preserve"> imprisonment.</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bCs/>
          <w:i/>
          <w:sz w:val="24"/>
          <w:szCs w:val="24"/>
          <w:lang w:val="en-US"/>
        </w:rPr>
      </w:pPr>
      <w:r w:rsidRPr="004B3159">
        <w:rPr>
          <w:rFonts w:ascii="Times New Roman" w:hAnsi="Times New Roman" w:cs="Times New Roman"/>
          <w:bCs/>
          <w:i/>
          <w:sz w:val="24"/>
          <w:szCs w:val="24"/>
          <w:lang w:val="en-US"/>
        </w:rPr>
        <w:t xml:space="preserve">The sentence referred to in </w:t>
      </w:r>
      <w:r>
        <w:rPr>
          <w:rFonts w:ascii="Times New Roman" w:hAnsi="Times New Roman" w:cs="Times New Roman"/>
          <w:bCs/>
          <w:i/>
          <w:sz w:val="24"/>
          <w:szCs w:val="24"/>
          <w:lang w:val="en-US"/>
        </w:rPr>
        <w:t>P</w:t>
      </w:r>
      <w:r w:rsidRPr="004B3159">
        <w:rPr>
          <w:rFonts w:ascii="Times New Roman" w:hAnsi="Times New Roman" w:cs="Times New Roman"/>
          <w:bCs/>
          <w:i/>
          <w:sz w:val="24"/>
          <w:szCs w:val="24"/>
          <w:lang w:val="en-US"/>
        </w:rPr>
        <w:t xml:space="preserve">aragraph 1 shall also be imposed </w:t>
      </w:r>
      <w:r>
        <w:rPr>
          <w:rFonts w:ascii="Times New Roman" w:hAnsi="Times New Roman" w:cs="Times New Roman"/>
          <w:bCs/>
          <w:i/>
          <w:sz w:val="24"/>
          <w:szCs w:val="24"/>
          <w:lang w:val="en-US"/>
        </w:rPr>
        <w:t>upon</w:t>
      </w:r>
      <w:r w:rsidRPr="004B3159">
        <w:rPr>
          <w:rFonts w:ascii="Times New Roman" w:hAnsi="Times New Roman" w:cs="Times New Roman"/>
          <w:bCs/>
          <w:i/>
          <w:sz w:val="24"/>
          <w:szCs w:val="24"/>
          <w:lang w:val="en-US"/>
        </w:rPr>
        <w:t xml:space="preserve"> whosoever prosecutes organizations or individuals because of their efforts </w:t>
      </w:r>
      <w:r>
        <w:rPr>
          <w:rFonts w:ascii="Times New Roman" w:hAnsi="Times New Roman" w:cs="Times New Roman"/>
          <w:bCs/>
          <w:i/>
          <w:sz w:val="24"/>
          <w:szCs w:val="24"/>
          <w:lang w:val="en-US"/>
        </w:rPr>
        <w:t>towards</w:t>
      </w:r>
      <w:r w:rsidRPr="004B3159">
        <w:rPr>
          <w:rFonts w:ascii="Times New Roman" w:hAnsi="Times New Roman" w:cs="Times New Roman"/>
          <w:bCs/>
          <w:i/>
          <w:sz w:val="24"/>
          <w:szCs w:val="24"/>
          <w:lang w:val="en-US"/>
        </w:rPr>
        <w:t xml:space="preserve"> people</w:t>
      </w:r>
      <w:r>
        <w:rPr>
          <w:rFonts w:ascii="Times New Roman" w:hAnsi="Times New Roman" w:cs="Times New Roman"/>
          <w:bCs/>
          <w:i/>
          <w:sz w:val="24"/>
          <w:szCs w:val="24"/>
          <w:lang w:val="en-US"/>
        </w:rPr>
        <w:t>’s</w:t>
      </w:r>
      <w:r w:rsidRPr="004B3159">
        <w:rPr>
          <w:rFonts w:ascii="Times New Roman" w:hAnsi="Times New Roman" w:cs="Times New Roman"/>
          <w:bCs/>
          <w:i/>
          <w:sz w:val="24"/>
          <w:szCs w:val="24"/>
          <w:lang w:val="en-US"/>
        </w:rPr>
        <w:t xml:space="preserve"> equality.</w:t>
      </w:r>
    </w:p>
    <w:p w:rsidR="009962E3" w:rsidRPr="004B3159" w:rsidRDefault="009962E3" w:rsidP="004B3159">
      <w:pPr>
        <w:spacing w:before="100" w:beforeAutospacing="1" w:after="100" w:afterAutospacing="1" w:line="240" w:lineRule="auto"/>
        <w:ind w:left="720"/>
        <w:jc w:val="both"/>
        <w:rPr>
          <w:rFonts w:ascii="Times New Roman" w:hAnsi="Times New Roman" w:cs="Times New Roman"/>
          <w:bCs/>
          <w:i/>
          <w:sz w:val="24"/>
          <w:szCs w:val="24"/>
          <w:lang w:val="en-US"/>
        </w:rPr>
      </w:pPr>
      <w:r w:rsidRPr="004B3159">
        <w:rPr>
          <w:rFonts w:ascii="Times New Roman" w:hAnsi="Times New Roman" w:cs="Times New Roman"/>
          <w:b/>
          <w:bCs/>
          <w:i/>
          <w:sz w:val="24"/>
          <w:szCs w:val="24"/>
          <w:lang w:val="en-US"/>
        </w:rPr>
        <w:t>Whosoever spreads ideas about the superiority of one race over another, or advocates racial hate, or instigates racial discrimination</w:t>
      </w:r>
      <w:r w:rsidRPr="004B3159">
        <w:rPr>
          <w:rFonts w:ascii="Times New Roman" w:hAnsi="Times New Roman" w:cs="Times New Roman"/>
          <w:bCs/>
          <w:i/>
          <w:sz w:val="24"/>
          <w:szCs w:val="24"/>
          <w:lang w:val="en-US"/>
        </w:rPr>
        <w:t>, shall be sentenced to six months to three years</w:t>
      </w:r>
      <w:r>
        <w:rPr>
          <w:rFonts w:ascii="Times New Roman" w:hAnsi="Times New Roman" w:cs="Times New Roman"/>
          <w:bCs/>
          <w:i/>
          <w:sz w:val="24"/>
          <w:szCs w:val="24"/>
          <w:lang w:val="en-US"/>
        </w:rPr>
        <w:t>’</w:t>
      </w:r>
      <w:r w:rsidRPr="004B3159">
        <w:rPr>
          <w:rFonts w:ascii="Times New Roman" w:hAnsi="Times New Roman" w:cs="Times New Roman"/>
          <w:bCs/>
          <w:i/>
          <w:sz w:val="24"/>
          <w:szCs w:val="24"/>
          <w:lang w:val="en-US"/>
        </w:rPr>
        <w:t xml:space="preserve"> imprisonment.</w:t>
      </w:r>
    </w:p>
    <w:p w:rsidR="009962E3" w:rsidRPr="00895D49" w:rsidRDefault="009962E3" w:rsidP="00895D49">
      <w:pPr>
        <w:pStyle w:val="ListParagraph"/>
        <w:numPr>
          <w:ilvl w:val="1"/>
          <w:numId w:val="35"/>
        </w:numPr>
        <w:spacing w:before="100" w:beforeAutospacing="1" w:after="100" w:afterAutospacing="1" w:line="240" w:lineRule="auto"/>
        <w:jc w:val="both"/>
        <w:rPr>
          <w:rFonts w:ascii="Times New Roman" w:hAnsi="Times New Roman"/>
          <w:bCs/>
          <w:sz w:val="24"/>
          <w:szCs w:val="24"/>
        </w:rPr>
      </w:pPr>
      <w:r w:rsidRPr="00895D49">
        <w:rPr>
          <w:rFonts w:ascii="Times New Roman" w:hAnsi="Times New Roman"/>
          <w:b/>
          <w:bCs/>
          <w:sz w:val="24"/>
          <w:szCs w:val="24"/>
        </w:rPr>
        <w:t xml:space="preserve">Law on Prevention of and Protection </w:t>
      </w:r>
      <w:r>
        <w:rPr>
          <w:rFonts w:ascii="Times New Roman" w:hAnsi="Times New Roman"/>
          <w:b/>
          <w:bCs/>
          <w:sz w:val="24"/>
          <w:szCs w:val="24"/>
        </w:rPr>
        <w:t>a</w:t>
      </w:r>
      <w:r w:rsidRPr="00895D49">
        <w:rPr>
          <w:rFonts w:ascii="Times New Roman" w:hAnsi="Times New Roman"/>
          <w:b/>
          <w:bCs/>
          <w:sz w:val="24"/>
          <w:szCs w:val="24"/>
        </w:rPr>
        <w:t>gainst Discrimination</w:t>
      </w:r>
    </w:p>
    <w:p w:rsidR="009962E3" w:rsidRPr="004B3159" w:rsidRDefault="009962E3" w:rsidP="00895D49">
      <w:pPr>
        <w:spacing w:before="100" w:beforeAutospacing="1" w:after="100" w:afterAutospacing="1"/>
        <w:jc w:val="both"/>
        <w:rPr>
          <w:rFonts w:ascii="Times New Roman" w:hAnsi="Times New Roman" w:cs="Times New Roman"/>
          <w:bCs/>
          <w:sz w:val="24"/>
          <w:szCs w:val="24"/>
          <w:lang w:val="en-US"/>
        </w:rPr>
      </w:pPr>
      <w:r>
        <w:rPr>
          <w:rFonts w:ascii="Times New Roman" w:hAnsi="Times New Roman" w:cs="Times New Roman"/>
          <w:bCs/>
          <w:sz w:val="24"/>
          <w:szCs w:val="24"/>
          <w:lang w:val="en-US"/>
        </w:rPr>
        <w:t>F</w:t>
      </w:r>
      <w:r w:rsidRPr="004B3159">
        <w:rPr>
          <w:rFonts w:ascii="Times New Roman" w:hAnsi="Times New Roman" w:cs="Times New Roman"/>
          <w:bCs/>
          <w:sz w:val="24"/>
          <w:szCs w:val="24"/>
          <w:lang w:val="en-US"/>
        </w:rPr>
        <w:t xml:space="preserve">inally, there is a </w:t>
      </w:r>
      <w:r w:rsidRPr="004B3159">
        <w:rPr>
          <w:rFonts w:ascii="Times New Roman" w:hAnsi="Times New Roman" w:cs="Times New Roman"/>
          <w:b/>
          <w:bCs/>
          <w:sz w:val="24"/>
          <w:szCs w:val="24"/>
          <w:lang w:val="en-US"/>
        </w:rPr>
        <w:t xml:space="preserve">Law on Prevention of and Protection </w:t>
      </w:r>
      <w:r>
        <w:rPr>
          <w:rFonts w:ascii="Times New Roman" w:hAnsi="Times New Roman" w:cs="Times New Roman"/>
          <w:b/>
          <w:bCs/>
          <w:sz w:val="24"/>
          <w:szCs w:val="24"/>
          <w:lang w:val="en-US"/>
        </w:rPr>
        <w:t>a</w:t>
      </w:r>
      <w:r w:rsidRPr="004B3159">
        <w:rPr>
          <w:rFonts w:ascii="Times New Roman" w:hAnsi="Times New Roman" w:cs="Times New Roman"/>
          <w:b/>
          <w:bCs/>
          <w:sz w:val="24"/>
          <w:szCs w:val="24"/>
          <w:lang w:val="en-US"/>
        </w:rPr>
        <w:t>gainst Discrimination</w:t>
      </w:r>
      <w:r w:rsidRPr="004B3159">
        <w:rPr>
          <w:rFonts w:ascii="Times New Roman" w:hAnsi="Times New Roman" w:cs="Times New Roman"/>
          <w:bCs/>
          <w:sz w:val="24"/>
          <w:szCs w:val="24"/>
          <w:lang w:val="en-US"/>
        </w:rPr>
        <w:t xml:space="preserve"> which</w:t>
      </w:r>
      <w:r>
        <w:rPr>
          <w:rFonts w:ascii="Times New Roman" w:hAnsi="Times New Roman" w:cs="Times New Roman"/>
          <w:bCs/>
          <w:sz w:val="24"/>
          <w:szCs w:val="24"/>
          <w:lang w:val="en-US"/>
        </w:rPr>
        <w:t>,</w:t>
      </w:r>
      <w:r w:rsidRPr="004B3159">
        <w:rPr>
          <w:rFonts w:ascii="Times New Roman" w:hAnsi="Times New Roman" w:cs="Times New Roman"/>
          <w:bCs/>
          <w:sz w:val="24"/>
          <w:szCs w:val="24"/>
          <w:lang w:val="en-US"/>
        </w:rPr>
        <w:t xml:space="preserve"> in its Article 4</w:t>
      </w:r>
      <w:r>
        <w:rPr>
          <w:rFonts w:ascii="Times New Roman" w:hAnsi="Times New Roman" w:cs="Times New Roman"/>
          <w:bCs/>
          <w:sz w:val="24"/>
          <w:szCs w:val="24"/>
          <w:lang w:val="en-US"/>
        </w:rPr>
        <w:t>,</w:t>
      </w:r>
      <w:r w:rsidRPr="004B3159">
        <w:rPr>
          <w:rFonts w:ascii="Times New Roman" w:hAnsi="Times New Roman" w:cs="Times New Roman"/>
          <w:bCs/>
          <w:sz w:val="24"/>
          <w:szCs w:val="24"/>
          <w:lang w:val="en-US"/>
        </w:rPr>
        <w:t xml:space="preserve"> s</w:t>
      </w:r>
      <w:r>
        <w:rPr>
          <w:rFonts w:ascii="Times New Roman" w:hAnsi="Times New Roman" w:cs="Times New Roman"/>
          <w:bCs/>
          <w:sz w:val="24"/>
          <w:szCs w:val="24"/>
          <w:lang w:val="en-US"/>
        </w:rPr>
        <w:t>tate</w:t>
      </w:r>
      <w:r w:rsidRPr="004B3159">
        <w:rPr>
          <w:rFonts w:ascii="Times New Roman" w:hAnsi="Times New Roman" w:cs="Times New Roman"/>
          <w:bCs/>
          <w:sz w:val="24"/>
          <w:szCs w:val="24"/>
          <w:lang w:val="en-US"/>
        </w:rPr>
        <w:t xml:space="preserve">s that “this Law shall be applied by all state bodies, bodies of the local self-government units, </w:t>
      </w:r>
      <w:r w:rsidRPr="004B3159">
        <w:rPr>
          <w:rFonts w:ascii="Times New Roman" w:hAnsi="Times New Roman" w:cs="Times New Roman"/>
          <w:b/>
          <w:bCs/>
          <w:sz w:val="24"/>
          <w:szCs w:val="24"/>
          <w:lang w:val="en-US"/>
        </w:rPr>
        <w:t xml:space="preserve">legal entities with public </w:t>
      </w:r>
      <w:r>
        <w:rPr>
          <w:rFonts w:ascii="Times New Roman" w:hAnsi="Times New Roman" w:cs="Times New Roman"/>
          <w:b/>
          <w:bCs/>
          <w:sz w:val="24"/>
          <w:szCs w:val="24"/>
          <w:lang w:val="en-US"/>
        </w:rPr>
        <w:t>legal competences</w:t>
      </w:r>
      <w:r w:rsidRPr="004B3159">
        <w:rPr>
          <w:rFonts w:ascii="Times New Roman" w:hAnsi="Times New Roman" w:cs="Times New Roman"/>
          <w:bCs/>
          <w:sz w:val="24"/>
          <w:szCs w:val="24"/>
          <w:lang w:val="en-US"/>
        </w:rPr>
        <w:t>, and legal entities and natural persons in the field of ….”</w:t>
      </w:r>
      <w:r w:rsidRPr="004B3159">
        <w:rPr>
          <w:rFonts w:ascii="Times New Roman" w:hAnsi="Times New Roman" w:cs="Times New Roman"/>
          <w:b/>
          <w:bCs/>
          <w:sz w:val="24"/>
          <w:szCs w:val="24"/>
          <w:lang w:val="en-US"/>
        </w:rPr>
        <w:t>public information and media</w:t>
      </w:r>
      <w:r w:rsidRPr="004B315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According to t</w:t>
      </w:r>
      <w:r w:rsidRPr="004B3159">
        <w:rPr>
          <w:rFonts w:ascii="Times New Roman" w:hAnsi="Times New Roman" w:cs="Times New Roman"/>
          <w:bCs/>
          <w:sz w:val="24"/>
          <w:szCs w:val="24"/>
          <w:lang w:val="en-US"/>
        </w:rPr>
        <w:t>his</w:t>
      </w:r>
      <w:r>
        <w:rPr>
          <w:rFonts w:ascii="Times New Roman" w:hAnsi="Times New Roman" w:cs="Times New Roman"/>
          <w:bCs/>
          <w:sz w:val="24"/>
          <w:szCs w:val="24"/>
          <w:lang w:val="en-US"/>
        </w:rPr>
        <w:t xml:space="preserve">, </w:t>
      </w:r>
      <w:r w:rsidRPr="004B3159">
        <w:rPr>
          <w:rFonts w:ascii="Times New Roman" w:hAnsi="Times New Roman" w:cs="Times New Roman"/>
          <w:bCs/>
          <w:sz w:val="24"/>
          <w:szCs w:val="24"/>
          <w:lang w:val="en-US"/>
        </w:rPr>
        <w:t xml:space="preserve"> the AAAMS should also be in charge of implementing the Law on </w:t>
      </w:r>
      <w:r>
        <w:rPr>
          <w:rFonts w:ascii="Times New Roman" w:hAnsi="Times New Roman" w:cs="Times New Roman"/>
          <w:bCs/>
          <w:sz w:val="24"/>
          <w:szCs w:val="24"/>
          <w:lang w:val="en-US"/>
        </w:rPr>
        <w:t>P</w:t>
      </w:r>
      <w:r w:rsidRPr="004B3159">
        <w:rPr>
          <w:rFonts w:ascii="Times New Roman" w:hAnsi="Times New Roman" w:cs="Times New Roman"/>
          <w:bCs/>
          <w:sz w:val="24"/>
          <w:szCs w:val="24"/>
          <w:lang w:val="en-US"/>
        </w:rPr>
        <w:t xml:space="preserve">revention of and </w:t>
      </w:r>
      <w:r>
        <w:rPr>
          <w:rFonts w:ascii="Times New Roman" w:hAnsi="Times New Roman" w:cs="Times New Roman"/>
          <w:bCs/>
          <w:sz w:val="24"/>
          <w:szCs w:val="24"/>
          <w:lang w:val="en-US"/>
        </w:rPr>
        <w:t>P</w:t>
      </w:r>
      <w:r w:rsidRPr="004B3159">
        <w:rPr>
          <w:rFonts w:ascii="Times New Roman" w:hAnsi="Times New Roman" w:cs="Times New Roman"/>
          <w:bCs/>
          <w:sz w:val="24"/>
          <w:szCs w:val="24"/>
          <w:lang w:val="en-US"/>
        </w:rPr>
        <w:t xml:space="preserve">rotection against </w:t>
      </w:r>
      <w:r>
        <w:rPr>
          <w:rFonts w:ascii="Times New Roman" w:hAnsi="Times New Roman" w:cs="Times New Roman"/>
          <w:bCs/>
          <w:sz w:val="24"/>
          <w:szCs w:val="24"/>
          <w:lang w:val="en-US"/>
        </w:rPr>
        <w:t>D</w:t>
      </w:r>
      <w:r w:rsidRPr="004B3159">
        <w:rPr>
          <w:rFonts w:ascii="Times New Roman" w:hAnsi="Times New Roman" w:cs="Times New Roman"/>
          <w:bCs/>
          <w:sz w:val="24"/>
          <w:szCs w:val="24"/>
          <w:lang w:val="en-US"/>
        </w:rPr>
        <w:t xml:space="preserve">iscrimination, </w:t>
      </w:r>
      <w:r>
        <w:rPr>
          <w:rFonts w:ascii="Times New Roman" w:hAnsi="Times New Roman" w:cs="Times New Roman"/>
          <w:bCs/>
          <w:sz w:val="24"/>
          <w:szCs w:val="24"/>
          <w:lang w:val="en-US"/>
        </w:rPr>
        <w:t xml:space="preserve">due to which </w:t>
      </w:r>
      <w:r w:rsidRPr="004B3159">
        <w:rPr>
          <w:rFonts w:ascii="Times New Roman" w:hAnsi="Times New Roman" w:cs="Times New Roman"/>
          <w:bCs/>
          <w:sz w:val="24"/>
          <w:szCs w:val="24"/>
          <w:lang w:val="en-US"/>
        </w:rPr>
        <w:t xml:space="preserve"> one of the recommendations at the end of the text propose</w:t>
      </w:r>
      <w:r>
        <w:rPr>
          <w:rFonts w:ascii="Times New Roman" w:hAnsi="Times New Roman" w:cs="Times New Roman"/>
          <w:bCs/>
          <w:sz w:val="24"/>
          <w:szCs w:val="24"/>
          <w:lang w:val="en-US"/>
        </w:rPr>
        <w:t>s</w:t>
      </w:r>
      <w:r w:rsidRPr="004B3159">
        <w:rPr>
          <w:rFonts w:ascii="Times New Roman" w:hAnsi="Times New Roman" w:cs="Times New Roman"/>
          <w:bCs/>
          <w:sz w:val="24"/>
          <w:szCs w:val="24"/>
          <w:lang w:val="en-US"/>
        </w:rPr>
        <w:t xml:space="preserve"> close cooperation between the AAAMS and the re</w:t>
      </w:r>
      <w:r>
        <w:rPr>
          <w:rFonts w:ascii="Times New Roman" w:hAnsi="Times New Roman" w:cs="Times New Roman"/>
          <w:bCs/>
          <w:sz w:val="24"/>
          <w:szCs w:val="24"/>
          <w:lang w:val="en-US"/>
        </w:rPr>
        <w:t xml:space="preserve">levant </w:t>
      </w:r>
      <w:r w:rsidRPr="004B3159">
        <w:rPr>
          <w:rFonts w:ascii="Times New Roman" w:hAnsi="Times New Roman" w:cs="Times New Roman"/>
          <w:bCs/>
          <w:sz w:val="24"/>
          <w:szCs w:val="24"/>
          <w:lang w:val="en-US"/>
        </w:rPr>
        <w:t>regulator fo</w:t>
      </w:r>
      <w:r>
        <w:rPr>
          <w:rFonts w:ascii="Times New Roman" w:hAnsi="Times New Roman" w:cs="Times New Roman"/>
          <w:bCs/>
          <w:sz w:val="24"/>
          <w:szCs w:val="24"/>
          <w:lang w:val="en-US"/>
        </w:rPr>
        <w:t>r</w:t>
      </w:r>
      <w:r w:rsidRPr="004B3159">
        <w:rPr>
          <w:rFonts w:ascii="Times New Roman" w:hAnsi="Times New Roman" w:cs="Times New Roman"/>
          <w:bCs/>
          <w:sz w:val="24"/>
          <w:szCs w:val="24"/>
          <w:lang w:val="en-US"/>
        </w:rPr>
        <w:t xml:space="preserve"> this law in fighting discrimination. </w:t>
      </w:r>
    </w:p>
    <w:p w:rsidR="009962E3" w:rsidRPr="004B3159" w:rsidRDefault="009962E3" w:rsidP="00895D49">
      <w:pPr>
        <w:spacing w:before="100" w:beforeAutospacing="1" w:after="100" w:afterAutospacing="1"/>
        <w:jc w:val="both"/>
        <w:rPr>
          <w:rFonts w:ascii="Times New Roman" w:hAnsi="Times New Roman" w:cs="Times New Roman"/>
          <w:bCs/>
          <w:sz w:val="24"/>
          <w:szCs w:val="24"/>
          <w:lang w:val="en-US"/>
        </w:rPr>
      </w:pPr>
      <w:r w:rsidRPr="004B3159">
        <w:rPr>
          <w:rFonts w:ascii="Times New Roman" w:hAnsi="Times New Roman" w:cs="Times New Roman"/>
          <w:bCs/>
          <w:sz w:val="24"/>
          <w:szCs w:val="24"/>
          <w:lang w:val="en-US"/>
        </w:rPr>
        <w:t xml:space="preserve">Article 5, </w:t>
      </w:r>
      <w:r>
        <w:rPr>
          <w:rFonts w:ascii="Times New Roman" w:hAnsi="Times New Roman" w:cs="Times New Roman"/>
          <w:bCs/>
          <w:sz w:val="24"/>
          <w:szCs w:val="24"/>
          <w:lang w:val="en-US"/>
        </w:rPr>
        <w:t>P</w:t>
      </w:r>
      <w:r w:rsidRPr="004B3159">
        <w:rPr>
          <w:rFonts w:ascii="Times New Roman" w:hAnsi="Times New Roman" w:cs="Times New Roman"/>
          <w:bCs/>
          <w:sz w:val="24"/>
          <w:szCs w:val="24"/>
          <w:lang w:val="en-US"/>
        </w:rPr>
        <w:t xml:space="preserve">oint 3 defines the meaning of </w:t>
      </w:r>
      <w:r w:rsidRPr="004B3159">
        <w:rPr>
          <w:rFonts w:ascii="Times New Roman" w:hAnsi="Times New Roman" w:cs="Times New Roman"/>
          <w:b/>
          <w:bCs/>
          <w:sz w:val="24"/>
          <w:szCs w:val="24"/>
          <w:lang w:val="en-US"/>
        </w:rPr>
        <w:t>discrimination</w:t>
      </w:r>
      <w:r w:rsidRPr="004B3159">
        <w:rPr>
          <w:rFonts w:ascii="Times New Roman" w:hAnsi="Times New Roman" w:cs="Times New Roman"/>
          <w:bCs/>
          <w:sz w:val="24"/>
          <w:szCs w:val="24"/>
          <w:lang w:val="en-US"/>
        </w:rPr>
        <w:t xml:space="preserve"> as “any unjustified legal or factual, direct or indirect, differentiation or unequal treatment, i.e. omission (exclusion, limitation or giving priority) with respect to persons or groups based on sex, race, colo</w:t>
      </w:r>
      <w:r>
        <w:rPr>
          <w:rFonts w:ascii="Times New Roman" w:hAnsi="Times New Roman" w:cs="Times New Roman"/>
          <w:bCs/>
          <w:sz w:val="24"/>
          <w:szCs w:val="24"/>
          <w:lang w:val="en-US"/>
        </w:rPr>
        <w:t>u</w:t>
      </w:r>
      <w:r w:rsidRPr="004B3159">
        <w:rPr>
          <w:rFonts w:ascii="Times New Roman" w:hAnsi="Times New Roman" w:cs="Times New Roman"/>
          <w:bCs/>
          <w:sz w:val="24"/>
          <w:szCs w:val="24"/>
          <w:lang w:val="en-US"/>
        </w:rPr>
        <w:t xml:space="preserve">r, gender, belonging to a marginalized group, ethnic origin, language, nationality, social background, religion or religious beliefs, education, political affiliation, personal or social status, mental and physical impediment, age, family or marital status, property status, health condition or any other ground”. It should be précised whether the AAAMS should also use this definition in its daily work </w:t>
      </w:r>
      <w:r>
        <w:rPr>
          <w:rFonts w:ascii="Times New Roman" w:hAnsi="Times New Roman" w:cs="Times New Roman"/>
          <w:bCs/>
          <w:sz w:val="24"/>
          <w:szCs w:val="24"/>
          <w:lang w:val="en-US"/>
        </w:rPr>
        <w:t>when</w:t>
      </w:r>
      <w:r w:rsidRPr="004B3159">
        <w:rPr>
          <w:rFonts w:ascii="Times New Roman" w:hAnsi="Times New Roman" w:cs="Times New Roman"/>
          <w:bCs/>
          <w:sz w:val="24"/>
          <w:szCs w:val="24"/>
          <w:lang w:val="en-US"/>
        </w:rPr>
        <w:t xml:space="preserve"> monitoring the program</w:t>
      </w:r>
      <w:r>
        <w:rPr>
          <w:rFonts w:ascii="Times New Roman" w:hAnsi="Times New Roman" w:cs="Times New Roman"/>
          <w:bCs/>
          <w:sz w:val="24"/>
          <w:szCs w:val="24"/>
          <w:lang w:val="en-US"/>
        </w:rPr>
        <w:t>me</w:t>
      </w:r>
      <w:r w:rsidRPr="004B3159">
        <w:rPr>
          <w:rFonts w:ascii="Times New Roman" w:hAnsi="Times New Roman" w:cs="Times New Roman"/>
          <w:bCs/>
          <w:sz w:val="24"/>
          <w:szCs w:val="24"/>
          <w:lang w:val="en-US"/>
        </w:rPr>
        <w:t xml:space="preserve">. </w:t>
      </w:r>
    </w:p>
    <w:p w:rsidR="009962E3" w:rsidRDefault="009962E3" w:rsidP="004B3159">
      <w:pPr>
        <w:spacing w:before="100" w:beforeAutospacing="1" w:after="100" w:afterAutospacing="1" w:line="240" w:lineRule="auto"/>
        <w:jc w:val="center"/>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Default="009962E3" w:rsidP="00895D49">
      <w:pPr>
        <w:spacing w:before="100" w:beforeAutospacing="1" w:after="100" w:afterAutospacing="1" w:line="240" w:lineRule="auto"/>
        <w:rPr>
          <w:rFonts w:ascii="Times New Roman" w:hAnsi="Times New Roman" w:cs="Times New Roman"/>
          <w:b/>
          <w:bCs/>
          <w:sz w:val="24"/>
          <w:szCs w:val="24"/>
          <w:lang w:val="en-US"/>
        </w:rPr>
      </w:pPr>
    </w:p>
    <w:p w:rsidR="009962E3" w:rsidRPr="00C74D75" w:rsidRDefault="009962E3" w:rsidP="00895D49">
      <w:pPr>
        <w:pStyle w:val="ListParagraph"/>
        <w:numPr>
          <w:ilvl w:val="0"/>
          <w:numId w:val="33"/>
        </w:numPr>
        <w:spacing w:before="100" w:beforeAutospacing="1" w:after="100" w:afterAutospacing="1" w:line="240" w:lineRule="auto"/>
        <w:ind w:left="360"/>
        <w:rPr>
          <w:rFonts w:ascii="Times New Roman" w:hAnsi="Times New Roman"/>
          <w:b/>
          <w:bCs/>
          <w:sz w:val="28"/>
          <w:szCs w:val="28"/>
        </w:rPr>
      </w:pPr>
      <w:r>
        <w:rPr>
          <w:rFonts w:ascii="Times New Roman" w:hAnsi="Times New Roman"/>
          <w:b/>
          <w:bCs/>
          <w:sz w:val="28"/>
          <w:szCs w:val="28"/>
        </w:rPr>
        <w:br w:type="page"/>
      </w:r>
      <w:r w:rsidRPr="00C74D75">
        <w:rPr>
          <w:rFonts w:ascii="Times New Roman" w:hAnsi="Times New Roman"/>
          <w:b/>
          <w:bCs/>
          <w:sz w:val="28"/>
          <w:szCs w:val="28"/>
        </w:rPr>
        <w:t>Guidelines for monitoring “</w:t>
      </w:r>
      <w:r>
        <w:rPr>
          <w:rFonts w:ascii="Times New Roman" w:hAnsi="Times New Roman"/>
          <w:b/>
          <w:bCs/>
          <w:sz w:val="28"/>
          <w:szCs w:val="28"/>
        </w:rPr>
        <w:t>h</w:t>
      </w:r>
      <w:r w:rsidRPr="00C74D75">
        <w:rPr>
          <w:rFonts w:ascii="Times New Roman" w:hAnsi="Times New Roman"/>
          <w:b/>
          <w:bCs/>
          <w:sz w:val="28"/>
          <w:szCs w:val="28"/>
        </w:rPr>
        <w:t xml:space="preserve">ate </w:t>
      </w:r>
      <w:r>
        <w:rPr>
          <w:rFonts w:ascii="Times New Roman" w:hAnsi="Times New Roman"/>
          <w:b/>
          <w:bCs/>
          <w:sz w:val="28"/>
          <w:szCs w:val="28"/>
        </w:rPr>
        <w:t>s</w:t>
      </w:r>
      <w:r w:rsidRPr="00C74D75">
        <w:rPr>
          <w:rFonts w:ascii="Times New Roman" w:hAnsi="Times New Roman"/>
          <w:b/>
          <w:bCs/>
          <w:sz w:val="28"/>
          <w:szCs w:val="28"/>
        </w:rPr>
        <w:t xml:space="preserve">peech” </w:t>
      </w:r>
    </w:p>
    <w:p w:rsidR="009962E3" w:rsidRDefault="009962E3" w:rsidP="004B3159">
      <w:pPr>
        <w:spacing w:before="100" w:beforeAutospacing="1" w:after="100" w:afterAutospacing="1" w:line="240" w:lineRule="auto"/>
        <w:jc w:val="both"/>
        <w:rPr>
          <w:rFonts w:ascii="Times New Roman" w:hAnsi="Times New Roman" w:cs="Times New Roman"/>
          <w:bCs/>
          <w:sz w:val="24"/>
          <w:szCs w:val="24"/>
          <w:lang w:val="en-US"/>
        </w:rPr>
      </w:pPr>
    </w:p>
    <w:p w:rsidR="009962E3" w:rsidRPr="00740DA9" w:rsidRDefault="009962E3" w:rsidP="00BB0213">
      <w:pPr>
        <w:spacing w:before="100" w:beforeAutospacing="1" w:after="100" w:afterAutospacing="1"/>
        <w:jc w:val="both"/>
        <w:rPr>
          <w:rStyle w:val="FontStyle38"/>
          <w:rFonts w:ascii="Times New Roman" w:hAnsi="Times New Roman" w:cs="Times New Roman"/>
          <w:sz w:val="24"/>
          <w:szCs w:val="24"/>
        </w:rPr>
      </w:pPr>
      <w:r w:rsidRPr="00740DA9">
        <w:rPr>
          <w:rStyle w:val="FontStyle38"/>
          <w:rFonts w:ascii="Times New Roman" w:hAnsi="Times New Roman" w:cs="Times New Roman"/>
          <w:sz w:val="24"/>
          <w:szCs w:val="24"/>
        </w:rPr>
        <w:t>When determining hate speech, most of the regulatory authorities in the audiovisual field</w:t>
      </w:r>
      <w:r>
        <w:rPr>
          <w:rStyle w:val="FontStyle38"/>
          <w:rFonts w:ascii="Times New Roman" w:hAnsi="Times New Roman" w:cs="Times New Roman"/>
          <w:sz w:val="24"/>
          <w:szCs w:val="24"/>
        </w:rPr>
        <w:t xml:space="preserve"> </w:t>
      </w:r>
      <w:r w:rsidRPr="00740DA9">
        <w:rPr>
          <w:rStyle w:val="FontStyle38"/>
          <w:rFonts w:ascii="Times New Roman" w:hAnsi="Times New Roman" w:cs="Times New Roman"/>
          <w:sz w:val="24"/>
          <w:szCs w:val="24"/>
        </w:rPr>
        <w:t xml:space="preserve">use the case-law of the European Court </w:t>
      </w:r>
      <w:r>
        <w:rPr>
          <w:rStyle w:val="FontStyle38"/>
          <w:rFonts w:ascii="Times New Roman" w:hAnsi="Times New Roman" w:cs="Times New Roman"/>
          <w:sz w:val="24"/>
          <w:szCs w:val="24"/>
        </w:rPr>
        <w:t>of</w:t>
      </w:r>
      <w:r w:rsidRPr="00740DA9">
        <w:rPr>
          <w:rStyle w:val="FontStyle38"/>
          <w:rFonts w:ascii="Times New Roman" w:hAnsi="Times New Roman" w:cs="Times New Roman"/>
          <w:sz w:val="24"/>
          <w:szCs w:val="24"/>
        </w:rPr>
        <w:t xml:space="preserve"> Human Rights (ECHR) and </w:t>
      </w:r>
      <w:r>
        <w:rPr>
          <w:rStyle w:val="FontStyle38"/>
          <w:rFonts w:ascii="Times New Roman" w:hAnsi="Times New Roman" w:cs="Times New Roman"/>
          <w:sz w:val="24"/>
          <w:szCs w:val="24"/>
        </w:rPr>
        <w:t xml:space="preserve">the </w:t>
      </w:r>
      <w:r w:rsidRPr="00740DA9">
        <w:rPr>
          <w:rStyle w:val="FontStyle38"/>
          <w:rFonts w:ascii="Times New Roman" w:hAnsi="Times New Roman" w:cs="Times New Roman"/>
          <w:sz w:val="24"/>
          <w:szCs w:val="24"/>
        </w:rPr>
        <w:t xml:space="preserve">domestic courts as their guiding principles. The basic </w:t>
      </w:r>
      <w:r>
        <w:rPr>
          <w:rStyle w:val="FontStyle38"/>
          <w:rFonts w:ascii="Times New Roman" w:hAnsi="Times New Roman" w:cs="Times New Roman"/>
          <w:sz w:val="24"/>
          <w:szCs w:val="24"/>
        </w:rPr>
        <w:t>premise</w:t>
      </w:r>
      <w:r w:rsidRPr="00740DA9">
        <w:rPr>
          <w:rStyle w:val="FontStyle38"/>
          <w:rFonts w:ascii="Times New Roman" w:hAnsi="Times New Roman" w:cs="Times New Roman"/>
          <w:sz w:val="24"/>
          <w:szCs w:val="24"/>
        </w:rPr>
        <w:t xml:space="preserve"> of both </w:t>
      </w:r>
      <w:r>
        <w:rPr>
          <w:rStyle w:val="FontStyle38"/>
          <w:rFonts w:ascii="Times New Roman" w:hAnsi="Times New Roman" w:cs="Times New Roman"/>
          <w:sz w:val="24"/>
          <w:szCs w:val="24"/>
        </w:rPr>
        <w:t xml:space="preserve">the </w:t>
      </w:r>
      <w:r w:rsidRPr="00740DA9">
        <w:rPr>
          <w:rStyle w:val="FontStyle38"/>
          <w:rFonts w:ascii="Times New Roman" w:hAnsi="Times New Roman" w:cs="Times New Roman"/>
          <w:sz w:val="24"/>
          <w:szCs w:val="24"/>
        </w:rPr>
        <w:t>ECHR and</w:t>
      </w:r>
      <w:r>
        <w:rPr>
          <w:rStyle w:val="FontStyle38"/>
          <w:rFonts w:ascii="Times New Roman" w:hAnsi="Times New Roman" w:cs="Times New Roman"/>
          <w:sz w:val="24"/>
          <w:szCs w:val="24"/>
        </w:rPr>
        <w:t xml:space="preserve"> the</w:t>
      </w:r>
      <w:r w:rsidRPr="00740DA9">
        <w:rPr>
          <w:rStyle w:val="FontStyle38"/>
          <w:rFonts w:ascii="Times New Roman" w:hAnsi="Times New Roman" w:cs="Times New Roman"/>
          <w:sz w:val="24"/>
          <w:szCs w:val="24"/>
        </w:rPr>
        <w:t xml:space="preserve"> national courts is that all incitement cases should be considered on a case-by-case basis. </w:t>
      </w:r>
    </w:p>
    <w:p w:rsidR="009962E3" w:rsidRPr="00740DA9" w:rsidRDefault="009962E3" w:rsidP="00BB0213">
      <w:pPr>
        <w:spacing w:before="100" w:beforeAutospacing="1" w:after="100" w:afterAutospacing="1"/>
        <w:jc w:val="both"/>
        <w:rPr>
          <w:rStyle w:val="FontStyle38"/>
          <w:rFonts w:ascii="Times New Roman" w:hAnsi="Times New Roman" w:cs="Times New Roman"/>
          <w:sz w:val="24"/>
          <w:szCs w:val="24"/>
        </w:rPr>
      </w:pPr>
      <w:r w:rsidRPr="00740DA9">
        <w:rPr>
          <w:rStyle w:val="FontStyle38"/>
          <w:rFonts w:ascii="Times New Roman" w:hAnsi="Times New Roman" w:cs="Times New Roman"/>
          <w:sz w:val="24"/>
          <w:szCs w:val="24"/>
        </w:rPr>
        <w:t>The main challenge for an audiovisual regulator while working with the prohibitions of hate speech in the linear and non-linear audiovisual media services under its jurisdiction is to determine how to draw the line between</w:t>
      </w:r>
      <w:r>
        <w:rPr>
          <w:rStyle w:val="FontStyle38"/>
          <w:rFonts w:ascii="Times New Roman" w:hAnsi="Times New Roman" w:cs="Times New Roman"/>
          <w:sz w:val="24"/>
          <w:szCs w:val="24"/>
        </w:rPr>
        <w:t xml:space="preserve"> the</w:t>
      </w:r>
      <w:r w:rsidRPr="00740DA9">
        <w:rPr>
          <w:rStyle w:val="FontStyle38"/>
          <w:rFonts w:ascii="Times New Roman" w:hAnsi="Times New Roman" w:cs="Times New Roman"/>
          <w:sz w:val="24"/>
          <w:szCs w:val="24"/>
        </w:rPr>
        <w:t xml:space="preserve"> forms of public speech (offensive, r</w:t>
      </w:r>
      <w:r>
        <w:rPr>
          <w:rStyle w:val="FontStyle38"/>
          <w:rFonts w:ascii="Times New Roman" w:hAnsi="Times New Roman" w:cs="Times New Roman"/>
          <w:sz w:val="24"/>
          <w:szCs w:val="24"/>
        </w:rPr>
        <w:t>ude</w:t>
      </w:r>
      <w:r w:rsidRPr="00740DA9">
        <w:rPr>
          <w:rStyle w:val="FontStyle38"/>
          <w:rFonts w:ascii="Times New Roman" w:hAnsi="Times New Roman" w:cs="Times New Roman"/>
          <w:sz w:val="24"/>
          <w:szCs w:val="24"/>
        </w:rPr>
        <w:t>, abusive</w:t>
      </w:r>
      <w:r>
        <w:rPr>
          <w:rStyle w:val="FontStyle38"/>
          <w:rFonts w:ascii="Times New Roman" w:hAnsi="Times New Roman" w:cs="Times New Roman"/>
          <w:sz w:val="24"/>
          <w:szCs w:val="24"/>
        </w:rPr>
        <w:t>,</w:t>
      </w:r>
      <w:r w:rsidRPr="00740DA9">
        <w:rPr>
          <w:rStyle w:val="FontStyle38"/>
          <w:rFonts w:ascii="Times New Roman" w:hAnsi="Times New Roman" w:cs="Times New Roman"/>
          <w:sz w:val="24"/>
          <w:szCs w:val="24"/>
        </w:rPr>
        <w:t xml:space="preserve"> etc.) that should be tolerated in a democratic society and speech that has to be restricted and sanctioned in order to protect the right of individual</w:t>
      </w:r>
      <w:r>
        <w:rPr>
          <w:rStyle w:val="FontStyle38"/>
          <w:rFonts w:ascii="Times New Roman" w:hAnsi="Times New Roman" w:cs="Times New Roman"/>
          <w:sz w:val="24"/>
          <w:szCs w:val="24"/>
        </w:rPr>
        <w:t>s</w:t>
      </w:r>
      <w:r w:rsidRPr="00740DA9">
        <w:rPr>
          <w:rStyle w:val="FontStyle38"/>
          <w:rFonts w:ascii="Times New Roman" w:hAnsi="Times New Roman" w:cs="Times New Roman"/>
          <w:sz w:val="24"/>
          <w:szCs w:val="24"/>
        </w:rPr>
        <w:t xml:space="preserve"> and groups not to be discriminated</w:t>
      </w:r>
      <w:r>
        <w:rPr>
          <w:rStyle w:val="FontStyle38"/>
          <w:rFonts w:ascii="Times New Roman" w:hAnsi="Times New Roman" w:cs="Times New Roman"/>
          <w:sz w:val="24"/>
          <w:szCs w:val="24"/>
        </w:rPr>
        <w:t>,</w:t>
      </w:r>
      <w:r w:rsidRPr="00740DA9">
        <w:rPr>
          <w:rStyle w:val="FontStyle38"/>
          <w:rFonts w:ascii="Times New Roman" w:hAnsi="Times New Roman" w:cs="Times New Roman"/>
          <w:sz w:val="24"/>
          <w:szCs w:val="24"/>
        </w:rPr>
        <w:t xml:space="preserve"> or speech that m</w:t>
      </w:r>
      <w:r>
        <w:rPr>
          <w:rStyle w:val="FontStyle38"/>
          <w:rFonts w:ascii="Times New Roman" w:hAnsi="Times New Roman" w:cs="Times New Roman"/>
          <w:sz w:val="24"/>
          <w:szCs w:val="24"/>
        </w:rPr>
        <w:t>ay</w:t>
      </w:r>
      <w:r w:rsidRPr="00740DA9">
        <w:rPr>
          <w:rStyle w:val="FontStyle38"/>
          <w:rFonts w:ascii="Times New Roman" w:hAnsi="Times New Roman" w:cs="Times New Roman"/>
          <w:sz w:val="24"/>
          <w:szCs w:val="24"/>
        </w:rPr>
        <w:t xml:space="preserve"> lead towards violence, public disorder and crime.           </w:t>
      </w:r>
    </w:p>
    <w:p w:rsidR="009962E3" w:rsidRDefault="009962E3" w:rsidP="00BB0213">
      <w:pPr>
        <w:spacing w:before="100" w:beforeAutospacing="1" w:after="100" w:afterAutospacing="1"/>
        <w:jc w:val="both"/>
        <w:rPr>
          <w:rFonts w:ascii="Times New Roman" w:hAnsi="Times New Roman" w:cs="Times New Roman"/>
          <w:bCs/>
          <w:color w:val="FF0000"/>
          <w:sz w:val="24"/>
          <w:szCs w:val="24"/>
          <w:lang w:val="en-US"/>
        </w:rPr>
      </w:pPr>
      <w:r w:rsidRPr="00740DA9">
        <w:rPr>
          <w:rFonts w:ascii="Times New Roman" w:hAnsi="Times New Roman" w:cs="Times New Roman"/>
          <w:bCs/>
          <w:sz w:val="24"/>
          <w:szCs w:val="24"/>
          <w:lang w:val="en-US"/>
        </w:rPr>
        <w:t xml:space="preserve">The ECHR and </w:t>
      </w:r>
      <w:r>
        <w:rPr>
          <w:rFonts w:ascii="Times New Roman" w:hAnsi="Times New Roman" w:cs="Times New Roman"/>
          <w:bCs/>
          <w:sz w:val="24"/>
          <w:szCs w:val="24"/>
          <w:lang w:val="en-US"/>
        </w:rPr>
        <w:t xml:space="preserve">the </w:t>
      </w:r>
      <w:r w:rsidRPr="00740DA9">
        <w:rPr>
          <w:rFonts w:ascii="Times New Roman" w:hAnsi="Times New Roman" w:cs="Times New Roman"/>
          <w:bCs/>
          <w:sz w:val="24"/>
          <w:szCs w:val="24"/>
          <w:lang w:val="en-US"/>
        </w:rPr>
        <w:t>domestic courts will always base their decisions on the particular circumstances of each individual case. This means that there are many decisive factors which have to be taken into consideration when drawing “...the dividing line between what is allowed and what is not: it is rather a set of variable elements, which must be combined on a case by case basis.”</w:t>
      </w:r>
      <w:r w:rsidRPr="00740DA9">
        <w:rPr>
          <w:rStyle w:val="FootnoteReference"/>
          <w:rFonts w:ascii="Times New Roman" w:hAnsi="Times New Roman"/>
          <w:bCs/>
          <w:sz w:val="24"/>
          <w:szCs w:val="24"/>
          <w:lang w:val="en-US"/>
        </w:rPr>
        <w:footnoteReference w:id="22"/>
      </w:r>
      <w:r w:rsidRPr="00BB0213">
        <w:rPr>
          <w:rFonts w:ascii="Times New Roman" w:hAnsi="Times New Roman" w:cs="Times New Roman"/>
          <w:bCs/>
          <w:color w:val="FF0000"/>
          <w:sz w:val="24"/>
          <w:szCs w:val="24"/>
          <w:lang w:val="en-US"/>
        </w:rPr>
        <w:t xml:space="preserve"> </w:t>
      </w:r>
    </w:p>
    <w:p w:rsidR="009962E3" w:rsidRDefault="009962E3" w:rsidP="00907DFC">
      <w:pPr>
        <w:spacing w:before="100" w:beforeAutospacing="1" w:after="100" w:afterAutospacing="1"/>
        <w:jc w:val="both"/>
        <w:rPr>
          <w:rFonts w:ascii="Times New Roman" w:hAnsi="Times New Roman" w:cs="Times New Roman"/>
          <w:bCs/>
          <w:sz w:val="24"/>
          <w:szCs w:val="24"/>
          <w:lang w:val="en-US"/>
        </w:rPr>
      </w:pPr>
      <w:r w:rsidRPr="00CF31A0">
        <w:rPr>
          <w:rFonts w:ascii="Times New Roman" w:hAnsi="Times New Roman" w:cs="Times New Roman"/>
          <w:bCs/>
          <w:sz w:val="24"/>
          <w:szCs w:val="24"/>
          <w:lang w:val="en-US"/>
        </w:rPr>
        <w:t xml:space="preserve">The difficulties and dilemmas that surround the assessment of a particular public communication as a form of speech that has to be restricted </w:t>
      </w:r>
      <w:r>
        <w:rPr>
          <w:rFonts w:ascii="Times New Roman" w:hAnsi="Times New Roman" w:cs="Times New Roman"/>
          <w:bCs/>
          <w:sz w:val="24"/>
          <w:szCs w:val="24"/>
          <w:lang w:val="en-US"/>
        </w:rPr>
        <w:t>arise</w:t>
      </w:r>
      <w:r w:rsidRPr="00CF31A0">
        <w:rPr>
          <w:rFonts w:ascii="Times New Roman" w:hAnsi="Times New Roman" w:cs="Times New Roman"/>
          <w:bCs/>
          <w:sz w:val="24"/>
          <w:szCs w:val="24"/>
          <w:lang w:val="en-US"/>
        </w:rPr>
        <w:t xml:space="preserve"> from the fact that “hate speech” is not always expressed in an explicit form but is also present in the statements that are perceived differently by different social or cultural groups. </w:t>
      </w:r>
      <w:r>
        <w:rPr>
          <w:rFonts w:ascii="Times New Roman" w:hAnsi="Times New Roman" w:cs="Times New Roman"/>
          <w:bCs/>
          <w:sz w:val="24"/>
          <w:szCs w:val="24"/>
          <w:lang w:val="en-US"/>
        </w:rPr>
        <w:t>Research evidence shows that sometimes e</w:t>
      </w:r>
      <w:r w:rsidRPr="00CF31A0">
        <w:rPr>
          <w:rFonts w:ascii="Times New Roman" w:hAnsi="Times New Roman" w:cs="Times New Roman"/>
          <w:bCs/>
          <w:sz w:val="24"/>
          <w:szCs w:val="24"/>
          <w:lang w:val="en-US"/>
        </w:rPr>
        <w:t xml:space="preserve">ven messages that contain implicit forms of stereotypisation of different ethnic, religious or other cultural groups can trigger violence and harassment.  </w:t>
      </w:r>
    </w:p>
    <w:p w:rsidR="009962E3" w:rsidRDefault="009962E3" w:rsidP="00907DFC">
      <w:pPr>
        <w:spacing w:before="100" w:beforeAutospacing="1" w:after="100" w:afterAutospacing="1"/>
        <w:jc w:val="both"/>
        <w:rPr>
          <w:rFonts w:ascii="Times New Roman" w:hAnsi="Times New Roman" w:cs="Times New Roman"/>
          <w:bCs/>
          <w:sz w:val="24"/>
          <w:szCs w:val="24"/>
          <w:lang w:val="en-US"/>
        </w:rPr>
      </w:pPr>
      <w:r>
        <w:rPr>
          <w:rFonts w:ascii="Times New Roman" w:hAnsi="Times New Roman" w:cs="Times New Roman"/>
          <w:bCs/>
          <w:sz w:val="24"/>
          <w:szCs w:val="24"/>
          <w:lang w:val="en-US"/>
        </w:rPr>
        <w:t>The main aim of the Guidelines presented below is to equip the Agency of Audio and Audiovisual Media Services with a summary of basic principles or methodologies to be followed while detecting and analyzing messages disseminated through linear and non-linear audiovisual media services in respect to the prohibition of incitement to hatred stipulated in the Law on Audio and Audiovisual Media Services. The provision contained in the Law is aligned with Article 6 of the AVMS Directive and gives the Agency legal ground to prevent dissemination of hate speech in the AVM services. These principles are actually implemented in the case-law of the European Court of Human Rights and the domestic courts or are elaborated in different forms in various manuals, guidelines and other documents published by the international organizations</w:t>
      </w:r>
      <w:r w:rsidRPr="00207403">
        <w:rPr>
          <w:rStyle w:val="FootnoteReference"/>
          <w:rFonts w:ascii="Times New Roman" w:hAnsi="Times New Roman" w:cs="Calibri"/>
          <w:bCs/>
          <w:sz w:val="24"/>
          <w:szCs w:val="24"/>
        </w:rPr>
        <w:footnoteReference w:id="23"/>
      </w:r>
      <w:r w:rsidRPr="00207403">
        <w:rPr>
          <w:rFonts w:ascii="Times New Roman" w:hAnsi="Times New Roman" w:cs="Times New Roman"/>
          <w:bCs/>
          <w:sz w:val="24"/>
          <w:szCs w:val="24"/>
          <w:lang w:val="en-US"/>
        </w:rPr>
        <w:t>.</w:t>
      </w:r>
    </w:p>
    <w:p w:rsidR="009962E3" w:rsidRPr="00CC7972" w:rsidRDefault="009962E3" w:rsidP="00BB0213">
      <w:pPr>
        <w:spacing w:before="100" w:beforeAutospacing="1" w:after="100" w:afterAutospacing="1"/>
        <w:jc w:val="both"/>
        <w:rPr>
          <w:rFonts w:ascii="Times New Roman" w:hAnsi="Times New Roman" w:cs="Times New Roman"/>
          <w:b/>
          <w:bCs/>
          <w:sz w:val="24"/>
          <w:szCs w:val="24"/>
          <w:lang w:val="en-US"/>
        </w:rPr>
      </w:pPr>
      <w:r w:rsidRPr="00CC7972">
        <w:rPr>
          <w:rFonts w:ascii="Times New Roman" w:hAnsi="Times New Roman" w:cs="Times New Roman"/>
          <w:b/>
          <w:bCs/>
          <w:sz w:val="24"/>
          <w:szCs w:val="24"/>
          <w:lang w:val="en-US"/>
        </w:rPr>
        <w:t xml:space="preserve">           7.1 </w:t>
      </w:r>
      <w:r>
        <w:rPr>
          <w:rFonts w:ascii="Times New Roman" w:hAnsi="Times New Roman" w:cs="Times New Roman"/>
          <w:b/>
          <w:bCs/>
          <w:sz w:val="24"/>
          <w:szCs w:val="24"/>
          <w:lang w:val="en-US"/>
        </w:rPr>
        <w:t>What was the c</w:t>
      </w:r>
      <w:r w:rsidRPr="00CC7972">
        <w:rPr>
          <w:rFonts w:ascii="Times New Roman" w:hAnsi="Times New Roman" w:cs="Times New Roman"/>
          <w:b/>
          <w:bCs/>
          <w:sz w:val="24"/>
          <w:szCs w:val="24"/>
          <w:lang w:val="en-US"/>
        </w:rPr>
        <w:t xml:space="preserve">ontext of the </w:t>
      </w:r>
      <w:r>
        <w:rPr>
          <w:rFonts w:ascii="Times New Roman" w:hAnsi="Times New Roman" w:cs="Times New Roman"/>
          <w:b/>
          <w:bCs/>
          <w:sz w:val="24"/>
          <w:szCs w:val="24"/>
          <w:lang w:val="en-US"/>
        </w:rPr>
        <w:t>expression?</w:t>
      </w:r>
    </w:p>
    <w:p w:rsidR="009962E3" w:rsidRDefault="009962E3" w:rsidP="0025626B">
      <w:pPr>
        <w:spacing w:before="100" w:beforeAutospacing="1" w:after="100" w:afterAutospacing="1"/>
        <w:jc w:val="both"/>
        <w:rPr>
          <w:rFonts w:ascii="Times New Roman" w:hAnsi="Times New Roman" w:cs="Times New Roman"/>
          <w:bCs/>
          <w:sz w:val="24"/>
          <w:szCs w:val="24"/>
          <w:lang w:val="en-US"/>
        </w:rPr>
      </w:pPr>
      <w:r w:rsidRPr="004B3159">
        <w:rPr>
          <w:rFonts w:ascii="Times New Roman" w:hAnsi="Times New Roman" w:cs="Times New Roman"/>
          <w:bCs/>
          <w:sz w:val="24"/>
          <w:szCs w:val="24"/>
          <w:lang w:val="en-US"/>
        </w:rPr>
        <w:t xml:space="preserve">The first question that the court takes into consideration when reviewing the </w:t>
      </w:r>
      <w:r>
        <w:rPr>
          <w:rFonts w:ascii="Times New Roman" w:hAnsi="Times New Roman" w:cs="Times New Roman"/>
          <w:bCs/>
          <w:sz w:val="24"/>
          <w:szCs w:val="24"/>
          <w:lang w:val="en-US"/>
        </w:rPr>
        <w:t>prese</w:t>
      </w:r>
      <w:r w:rsidRPr="004B3159">
        <w:rPr>
          <w:rFonts w:ascii="Times New Roman" w:hAnsi="Times New Roman" w:cs="Times New Roman"/>
          <w:bCs/>
          <w:sz w:val="24"/>
          <w:szCs w:val="24"/>
          <w:lang w:val="en-US"/>
        </w:rPr>
        <w:t xml:space="preserve">nce of “hate speech” in a </w:t>
      </w:r>
      <w:r>
        <w:rPr>
          <w:rFonts w:ascii="Times New Roman" w:hAnsi="Times New Roman" w:cs="Times New Roman"/>
          <w:bCs/>
          <w:sz w:val="24"/>
          <w:szCs w:val="24"/>
          <w:lang w:val="en-US"/>
        </w:rPr>
        <w:t>particular</w:t>
      </w:r>
      <w:r w:rsidRPr="004B3159">
        <w:rPr>
          <w:rFonts w:ascii="Times New Roman" w:hAnsi="Times New Roman" w:cs="Times New Roman"/>
          <w:bCs/>
          <w:sz w:val="24"/>
          <w:szCs w:val="24"/>
          <w:lang w:val="en-US"/>
        </w:rPr>
        <w:t xml:space="preserve"> case is </w:t>
      </w:r>
      <w:r>
        <w:rPr>
          <w:rFonts w:ascii="Times New Roman" w:hAnsi="Times New Roman" w:cs="Times New Roman"/>
          <w:bCs/>
          <w:sz w:val="24"/>
          <w:szCs w:val="24"/>
          <w:lang w:val="en-US"/>
        </w:rPr>
        <w:t>a</w:t>
      </w:r>
      <w:r w:rsidRPr="0025626B">
        <w:rPr>
          <w:rFonts w:ascii="Times New Roman" w:hAnsi="Times New Roman" w:cs="Times New Roman"/>
          <w:bCs/>
          <w:sz w:val="24"/>
          <w:szCs w:val="24"/>
          <w:lang w:val="en-US"/>
        </w:rPr>
        <w:t xml:space="preserve"> comprehensive </w:t>
      </w:r>
      <w:r>
        <w:rPr>
          <w:rFonts w:ascii="Times New Roman" w:hAnsi="Times New Roman" w:cs="Times New Roman"/>
          <w:bCs/>
          <w:sz w:val="24"/>
          <w:szCs w:val="24"/>
          <w:lang w:val="en-US"/>
        </w:rPr>
        <w:t>e</w:t>
      </w:r>
      <w:r w:rsidRPr="0025626B">
        <w:rPr>
          <w:rFonts w:ascii="Times New Roman" w:hAnsi="Times New Roman" w:cs="Times New Roman"/>
          <w:bCs/>
          <w:sz w:val="24"/>
          <w:szCs w:val="24"/>
          <w:lang w:val="en-US"/>
        </w:rPr>
        <w:t xml:space="preserve">valuation of the </w:t>
      </w:r>
      <w:r w:rsidRPr="0025626B">
        <w:rPr>
          <w:rFonts w:ascii="Times New Roman" w:hAnsi="Times New Roman" w:cs="Times New Roman"/>
          <w:bCs/>
          <w:i/>
          <w:sz w:val="24"/>
          <w:szCs w:val="24"/>
          <w:lang w:val="en-US"/>
        </w:rPr>
        <w:t>context of the expression</w:t>
      </w:r>
      <w:r>
        <w:rPr>
          <w:rStyle w:val="FootnoteReference"/>
          <w:rFonts w:ascii="Times New Roman" w:hAnsi="Times New Roman"/>
          <w:bCs/>
          <w:i/>
          <w:sz w:val="24"/>
          <w:szCs w:val="24"/>
          <w:lang w:val="en-US"/>
        </w:rPr>
        <w:footnoteReference w:id="24"/>
      </w:r>
      <w:r>
        <w:rPr>
          <w:rFonts w:ascii="Times New Roman" w:hAnsi="Times New Roman" w:cs="Times New Roman"/>
          <w:bCs/>
          <w:i/>
          <w:sz w:val="24"/>
          <w:szCs w:val="24"/>
          <w:lang w:val="en-US"/>
        </w:rPr>
        <w:t>.</w:t>
      </w:r>
      <w:r>
        <w:rPr>
          <w:rFonts w:ascii="Times New Roman" w:hAnsi="Times New Roman" w:cs="Times New Roman"/>
          <w:bCs/>
          <w:sz w:val="24"/>
          <w:szCs w:val="24"/>
          <w:lang w:val="en-US"/>
        </w:rPr>
        <w:t xml:space="preserve"> A</w:t>
      </w:r>
      <w:r w:rsidRPr="0025626B">
        <w:rPr>
          <w:rFonts w:ascii="Times New Roman" w:hAnsi="Times New Roman" w:cs="Times New Roman"/>
          <w:bCs/>
          <w:sz w:val="24"/>
          <w:szCs w:val="24"/>
          <w:lang w:val="en-US"/>
        </w:rPr>
        <w:t>ny analysis of the context should</w:t>
      </w:r>
      <w:r>
        <w:rPr>
          <w:rFonts w:ascii="Times New Roman" w:hAnsi="Times New Roman" w:cs="Times New Roman"/>
          <w:bCs/>
          <w:sz w:val="24"/>
          <w:szCs w:val="24"/>
          <w:lang w:val="en-US"/>
        </w:rPr>
        <w:t xml:space="preserve"> </w:t>
      </w:r>
      <w:r w:rsidRPr="0025626B">
        <w:rPr>
          <w:rFonts w:ascii="Times New Roman" w:hAnsi="Times New Roman" w:cs="Times New Roman"/>
          <w:bCs/>
          <w:sz w:val="24"/>
          <w:szCs w:val="24"/>
          <w:lang w:val="en-US"/>
        </w:rPr>
        <w:t xml:space="preserve">place </w:t>
      </w:r>
      <w:r>
        <w:rPr>
          <w:rFonts w:ascii="Times New Roman" w:hAnsi="Times New Roman" w:cs="Times New Roman"/>
          <w:bCs/>
          <w:sz w:val="24"/>
          <w:szCs w:val="24"/>
          <w:lang w:val="en-US"/>
        </w:rPr>
        <w:t>the specific</w:t>
      </w:r>
      <w:r w:rsidRPr="0025626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‘message’ </w:t>
      </w:r>
      <w:r w:rsidRPr="0025626B">
        <w:rPr>
          <w:rFonts w:ascii="Times New Roman" w:hAnsi="Times New Roman" w:cs="Times New Roman"/>
          <w:bCs/>
          <w:sz w:val="24"/>
          <w:szCs w:val="24"/>
          <w:lang w:val="en-US"/>
        </w:rPr>
        <w:t xml:space="preserve">within the </w:t>
      </w:r>
      <w:r>
        <w:rPr>
          <w:rFonts w:ascii="Times New Roman" w:hAnsi="Times New Roman" w:cs="Times New Roman"/>
          <w:bCs/>
          <w:sz w:val="24"/>
          <w:szCs w:val="24"/>
          <w:lang w:val="en-US"/>
        </w:rPr>
        <w:t xml:space="preserve">wider </w:t>
      </w:r>
      <w:r w:rsidRPr="0025626B">
        <w:rPr>
          <w:rFonts w:ascii="Times New Roman" w:hAnsi="Times New Roman" w:cs="Times New Roman"/>
          <w:bCs/>
          <w:sz w:val="24"/>
          <w:szCs w:val="24"/>
          <w:lang w:val="en-US"/>
        </w:rPr>
        <w:t>social and political context</w:t>
      </w:r>
      <w:r>
        <w:rPr>
          <w:rFonts w:ascii="Times New Roman" w:hAnsi="Times New Roman" w:cs="Times New Roman"/>
          <w:bCs/>
          <w:sz w:val="24"/>
          <w:szCs w:val="24"/>
          <w:lang w:val="en-US"/>
        </w:rPr>
        <w:t xml:space="preserve"> in which</w:t>
      </w:r>
      <w:r w:rsidRPr="0025626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this message</w:t>
      </w:r>
      <w:r w:rsidRPr="0025626B">
        <w:rPr>
          <w:rFonts w:ascii="Times New Roman" w:hAnsi="Times New Roman" w:cs="Times New Roman"/>
          <w:bCs/>
          <w:sz w:val="24"/>
          <w:szCs w:val="24"/>
          <w:lang w:val="en-US"/>
        </w:rPr>
        <w:t xml:space="preserve"> was </w:t>
      </w:r>
      <w:r>
        <w:rPr>
          <w:rFonts w:ascii="Times New Roman" w:hAnsi="Times New Roman" w:cs="Times New Roman"/>
          <w:bCs/>
          <w:sz w:val="24"/>
          <w:szCs w:val="24"/>
          <w:lang w:val="en-US"/>
        </w:rPr>
        <w:t xml:space="preserve">created and </w:t>
      </w:r>
      <w:r w:rsidRPr="0025626B">
        <w:rPr>
          <w:rFonts w:ascii="Times New Roman" w:hAnsi="Times New Roman" w:cs="Times New Roman"/>
          <w:bCs/>
          <w:sz w:val="24"/>
          <w:szCs w:val="24"/>
          <w:lang w:val="en-US"/>
        </w:rPr>
        <w:t>disseminated.</w:t>
      </w:r>
      <w:r>
        <w:rPr>
          <w:rFonts w:ascii="Times New Roman" w:hAnsi="Times New Roman" w:cs="Times New Roman"/>
          <w:bCs/>
          <w:sz w:val="24"/>
          <w:szCs w:val="24"/>
          <w:lang w:val="en-US"/>
        </w:rPr>
        <w:t xml:space="preserve"> Media reports that </w:t>
      </w:r>
      <w:r w:rsidRPr="0025626B">
        <w:rPr>
          <w:rFonts w:ascii="Times New Roman" w:hAnsi="Times New Roman" w:cs="Times New Roman"/>
          <w:bCs/>
          <w:sz w:val="24"/>
          <w:szCs w:val="24"/>
          <w:lang w:val="en-US"/>
        </w:rPr>
        <w:t xml:space="preserve">frequently </w:t>
      </w:r>
      <w:r>
        <w:rPr>
          <w:rFonts w:ascii="Times New Roman" w:hAnsi="Times New Roman" w:cs="Times New Roman"/>
          <w:bCs/>
          <w:sz w:val="24"/>
          <w:szCs w:val="24"/>
          <w:lang w:val="en-US"/>
        </w:rPr>
        <w:t xml:space="preserve">contain messages calling for </w:t>
      </w:r>
      <w:r w:rsidRPr="0025626B">
        <w:rPr>
          <w:rFonts w:ascii="Times New Roman" w:hAnsi="Times New Roman" w:cs="Times New Roman"/>
          <w:bCs/>
          <w:sz w:val="24"/>
          <w:szCs w:val="24"/>
          <w:lang w:val="en-US"/>
        </w:rPr>
        <w:t xml:space="preserve">violence against individuals or groups </w:t>
      </w:r>
      <w:r>
        <w:rPr>
          <w:rFonts w:ascii="Times New Roman" w:hAnsi="Times New Roman" w:cs="Times New Roman"/>
          <w:bCs/>
          <w:sz w:val="24"/>
          <w:szCs w:val="24"/>
          <w:lang w:val="en-US"/>
        </w:rPr>
        <w:t xml:space="preserve">belonging to different communities would have different consequences in different contexts. There are countries with a long history of interethnic and interreligious tensions or with more conservative and autocratic social environments. On the other hand, there are countries with fairly peaceful political history and a greater level of tolerance towards diverse communities and opposing views in their society.    </w:t>
      </w:r>
    </w:p>
    <w:p w:rsidR="009962E3" w:rsidRDefault="009962E3" w:rsidP="0025626B">
      <w:pPr>
        <w:spacing w:before="100" w:beforeAutospacing="1" w:after="100" w:afterAutospacing="1"/>
        <w:jc w:val="both"/>
        <w:rPr>
          <w:rFonts w:ascii="Times New Roman" w:hAnsi="Times New Roman" w:cs="Times New Roman"/>
          <w:bCs/>
          <w:sz w:val="24"/>
          <w:szCs w:val="24"/>
          <w:lang w:val="en-US"/>
        </w:rPr>
      </w:pPr>
      <w:r>
        <w:rPr>
          <w:rFonts w:ascii="Times New Roman" w:hAnsi="Times New Roman" w:cs="Times New Roman"/>
          <w:bCs/>
          <w:sz w:val="24"/>
          <w:szCs w:val="24"/>
          <w:lang w:val="en-US"/>
        </w:rPr>
        <w:t>Therefore, the analysis of the historical, political and social circumstances in a country should provide answers to the following questions:</w:t>
      </w:r>
    </w:p>
    <w:p w:rsidR="009962E3" w:rsidRDefault="009962E3" w:rsidP="00620899">
      <w:pPr>
        <w:pStyle w:val="ListParagraph"/>
        <w:numPr>
          <w:ilvl w:val="0"/>
          <w:numId w:val="36"/>
        </w:numPr>
        <w:autoSpaceDE w:val="0"/>
        <w:autoSpaceDN w:val="0"/>
        <w:adjustRightInd w:val="0"/>
        <w:spacing w:before="100" w:beforeAutospacing="1"/>
        <w:jc w:val="both"/>
        <w:rPr>
          <w:rFonts w:ascii="Times New Roman" w:hAnsi="Times New Roman"/>
          <w:color w:val="231F20"/>
          <w:sz w:val="24"/>
          <w:szCs w:val="24"/>
        </w:rPr>
      </w:pPr>
      <w:r w:rsidRPr="00634EB8">
        <w:rPr>
          <w:rFonts w:ascii="Times New Roman" w:hAnsi="Times New Roman"/>
          <w:bCs/>
          <w:sz w:val="24"/>
          <w:szCs w:val="24"/>
        </w:rPr>
        <w:t xml:space="preserve">Is there a history of conflicts in the society? What is the current situation in the country? Are there still conflicts or post-conflict tensions among </w:t>
      </w:r>
      <w:r>
        <w:rPr>
          <w:rFonts w:ascii="Times New Roman" w:hAnsi="Times New Roman"/>
          <w:bCs/>
          <w:sz w:val="24"/>
          <w:szCs w:val="24"/>
        </w:rPr>
        <w:t xml:space="preserve">the </w:t>
      </w:r>
      <w:r w:rsidRPr="00634EB8">
        <w:rPr>
          <w:rFonts w:ascii="Times New Roman" w:hAnsi="Times New Roman"/>
          <w:bCs/>
          <w:sz w:val="24"/>
          <w:szCs w:val="24"/>
        </w:rPr>
        <w:t xml:space="preserve">relevant groups? What were the most recent </w:t>
      </w:r>
      <w:r w:rsidRPr="00634EB8">
        <w:rPr>
          <w:rFonts w:ascii="Times New Roman" w:hAnsi="Times New Roman"/>
          <w:color w:val="231F20"/>
          <w:sz w:val="24"/>
          <w:szCs w:val="24"/>
        </w:rPr>
        <w:t xml:space="preserve">occurrences of violence </w:t>
      </w:r>
      <w:r>
        <w:rPr>
          <w:rFonts w:ascii="Times New Roman" w:hAnsi="Times New Roman"/>
          <w:color w:val="231F20"/>
          <w:sz w:val="24"/>
          <w:szCs w:val="24"/>
        </w:rPr>
        <w:t>resulting from</w:t>
      </w:r>
      <w:r w:rsidRPr="00634EB8">
        <w:rPr>
          <w:rFonts w:ascii="Times New Roman" w:hAnsi="Times New Roman"/>
          <w:color w:val="231F20"/>
          <w:sz w:val="24"/>
          <w:szCs w:val="24"/>
        </w:rPr>
        <w:t xml:space="preserve"> other examples of incitement to hatred? Are there other risk factors in the society that m</w:t>
      </w:r>
      <w:r>
        <w:rPr>
          <w:rFonts w:ascii="Times New Roman" w:hAnsi="Times New Roman"/>
          <w:color w:val="231F20"/>
          <w:sz w:val="24"/>
          <w:szCs w:val="24"/>
        </w:rPr>
        <w:t>ay</w:t>
      </w:r>
      <w:r w:rsidRPr="00634EB8">
        <w:rPr>
          <w:rFonts w:ascii="Times New Roman" w:hAnsi="Times New Roman"/>
          <w:color w:val="231F20"/>
          <w:sz w:val="24"/>
          <w:szCs w:val="24"/>
        </w:rPr>
        <w:t xml:space="preserve"> lead to violence against </w:t>
      </w:r>
      <w:r>
        <w:rPr>
          <w:rFonts w:ascii="Times New Roman" w:hAnsi="Times New Roman"/>
          <w:color w:val="231F20"/>
          <w:sz w:val="24"/>
          <w:szCs w:val="24"/>
        </w:rPr>
        <w:t xml:space="preserve">a </w:t>
      </w:r>
      <w:r w:rsidRPr="00634EB8">
        <w:rPr>
          <w:rFonts w:ascii="Times New Roman" w:hAnsi="Times New Roman"/>
          <w:color w:val="231F20"/>
          <w:sz w:val="24"/>
          <w:szCs w:val="24"/>
        </w:rPr>
        <w:t xml:space="preserve">specific group? </w:t>
      </w:r>
    </w:p>
    <w:p w:rsidR="009962E3" w:rsidRDefault="009962E3" w:rsidP="00620899">
      <w:pPr>
        <w:pStyle w:val="ListParagraph"/>
        <w:numPr>
          <w:ilvl w:val="0"/>
          <w:numId w:val="36"/>
        </w:numPr>
        <w:autoSpaceDE w:val="0"/>
        <w:autoSpaceDN w:val="0"/>
        <w:adjustRightInd w:val="0"/>
        <w:spacing w:after="0" w:afterAutospacing="1"/>
        <w:jc w:val="both"/>
        <w:rPr>
          <w:rFonts w:ascii="Times New Roman" w:hAnsi="Times New Roman"/>
          <w:color w:val="231F20"/>
          <w:sz w:val="24"/>
          <w:szCs w:val="24"/>
        </w:rPr>
      </w:pPr>
      <w:r>
        <w:rPr>
          <w:rFonts w:ascii="Times New Roman" w:hAnsi="Times New Roman"/>
          <w:color w:val="231F20"/>
          <w:sz w:val="24"/>
          <w:szCs w:val="24"/>
        </w:rPr>
        <w:t xml:space="preserve">Are all groups in the society equally protected at the legal and institutional levels? How have the relevant institutions reacted in cases of discrimination and incitement to violent behavior against specific individuals or groups? What is the broader political climate and level of tolerance towards diverse groups and communities in society?    </w:t>
      </w:r>
    </w:p>
    <w:p w:rsidR="009962E3" w:rsidRPr="00620899" w:rsidRDefault="009962E3" w:rsidP="00620899">
      <w:pPr>
        <w:pStyle w:val="ListParagraph"/>
        <w:numPr>
          <w:ilvl w:val="0"/>
          <w:numId w:val="36"/>
        </w:numPr>
        <w:autoSpaceDE w:val="0"/>
        <w:autoSpaceDN w:val="0"/>
        <w:adjustRightInd w:val="0"/>
        <w:spacing w:before="240" w:after="0" w:afterAutospacing="1"/>
        <w:jc w:val="both"/>
        <w:rPr>
          <w:rFonts w:ascii="Times New Roman" w:hAnsi="Times New Roman"/>
          <w:color w:val="231F20"/>
          <w:sz w:val="24"/>
          <w:szCs w:val="24"/>
        </w:rPr>
      </w:pPr>
      <w:r w:rsidRPr="00620899">
        <w:rPr>
          <w:rFonts w:ascii="Times New Roman" w:hAnsi="Times New Roman"/>
          <w:color w:val="231F20"/>
          <w:sz w:val="24"/>
          <w:szCs w:val="24"/>
        </w:rPr>
        <w:t xml:space="preserve">What is the overall socio-economic status of the community </w:t>
      </w:r>
      <w:r>
        <w:rPr>
          <w:rFonts w:ascii="Times New Roman" w:hAnsi="Times New Roman"/>
          <w:color w:val="231F20"/>
          <w:sz w:val="24"/>
          <w:szCs w:val="24"/>
        </w:rPr>
        <w:t>at</w:t>
      </w:r>
      <w:r w:rsidRPr="00620899">
        <w:rPr>
          <w:rFonts w:ascii="Times New Roman" w:hAnsi="Times New Roman"/>
          <w:color w:val="231F20"/>
          <w:sz w:val="24"/>
          <w:szCs w:val="24"/>
        </w:rPr>
        <w:t xml:space="preserve"> whom the speech is targeted? Do the members of this community suffer from economic insecurity, unemployment, </w:t>
      </w:r>
      <w:r>
        <w:rPr>
          <w:rFonts w:ascii="Times New Roman" w:hAnsi="Times New Roman"/>
          <w:color w:val="231F20"/>
          <w:sz w:val="24"/>
          <w:szCs w:val="24"/>
        </w:rPr>
        <w:t xml:space="preserve">difficult </w:t>
      </w:r>
      <w:r w:rsidRPr="00620899">
        <w:rPr>
          <w:rFonts w:ascii="Times New Roman" w:hAnsi="Times New Roman"/>
          <w:color w:val="231F20"/>
          <w:sz w:val="24"/>
          <w:szCs w:val="24"/>
        </w:rPr>
        <w:t>access to resources</w:t>
      </w:r>
      <w:r>
        <w:rPr>
          <w:rFonts w:ascii="Times New Roman" w:hAnsi="Times New Roman"/>
          <w:color w:val="231F20"/>
          <w:sz w:val="24"/>
          <w:szCs w:val="24"/>
        </w:rPr>
        <w:t>,</w:t>
      </w:r>
      <w:r w:rsidRPr="00620899">
        <w:rPr>
          <w:rFonts w:ascii="Times New Roman" w:hAnsi="Times New Roman"/>
          <w:color w:val="231F20"/>
          <w:sz w:val="24"/>
          <w:szCs w:val="24"/>
        </w:rPr>
        <w:t xml:space="preserve"> etc.? </w:t>
      </w:r>
      <w:r w:rsidRPr="00620899">
        <w:rPr>
          <w:rFonts w:ascii="Times New Roman" w:hAnsi="Times New Roman"/>
          <w:b/>
          <w:bCs/>
          <w:sz w:val="24"/>
          <w:szCs w:val="24"/>
        </w:rPr>
        <w:t xml:space="preserve">    </w:t>
      </w:r>
    </w:p>
    <w:p w:rsidR="009962E3" w:rsidRPr="000043D2" w:rsidRDefault="009962E3" w:rsidP="000043D2">
      <w:pPr>
        <w:spacing w:before="100" w:beforeAutospacing="1" w:after="100" w:afterAutospacing="1"/>
        <w:ind w:left="720"/>
        <w:jc w:val="both"/>
        <w:rPr>
          <w:rFonts w:ascii="Times New Roman" w:hAnsi="Times New Roman"/>
          <w:b/>
          <w:bCs/>
          <w:sz w:val="24"/>
          <w:szCs w:val="24"/>
        </w:rPr>
      </w:pPr>
      <w:r w:rsidRPr="000043D2">
        <w:rPr>
          <w:rFonts w:ascii="Times New Roman" w:hAnsi="Times New Roman"/>
          <w:b/>
          <w:bCs/>
          <w:sz w:val="24"/>
          <w:szCs w:val="24"/>
        </w:rPr>
        <w:t xml:space="preserve">7.2 </w:t>
      </w:r>
      <w:r w:rsidRPr="000043D2">
        <w:rPr>
          <w:rFonts w:ascii="Times New Roman" w:hAnsi="Times New Roman" w:cs="Times New Roman"/>
          <w:b/>
          <w:bCs/>
          <w:sz w:val="24"/>
          <w:szCs w:val="24"/>
          <w:lang w:val="en-US"/>
        </w:rPr>
        <w:t>Who was the person expressing hi</w:t>
      </w:r>
      <w:r>
        <w:rPr>
          <w:rFonts w:ascii="Times New Roman" w:hAnsi="Times New Roman" w:cs="Times New Roman"/>
          <w:b/>
          <w:bCs/>
          <w:sz w:val="24"/>
          <w:szCs w:val="24"/>
          <w:lang w:val="en-US"/>
        </w:rPr>
        <w:t>m</w:t>
      </w:r>
      <w:r w:rsidRPr="000043D2">
        <w:rPr>
          <w:rFonts w:ascii="Times New Roman" w:hAnsi="Times New Roman" w:cs="Times New Roman"/>
          <w:b/>
          <w:bCs/>
          <w:sz w:val="24"/>
          <w:szCs w:val="24"/>
          <w:lang w:val="en-US"/>
        </w:rPr>
        <w:t>/herself?</w:t>
      </w:r>
    </w:p>
    <w:p w:rsidR="009962E3" w:rsidRPr="00FE53D4" w:rsidRDefault="009962E3" w:rsidP="00FE53D4">
      <w:pPr>
        <w:autoSpaceDE w:val="0"/>
        <w:autoSpaceDN w:val="0"/>
        <w:adjustRightInd w:val="0"/>
        <w:spacing w:after="0"/>
        <w:jc w:val="both"/>
        <w:rPr>
          <w:rFonts w:ascii="Times New Roman" w:hAnsi="Times New Roman" w:cs="Times New Roman"/>
          <w:color w:val="231F20"/>
          <w:sz w:val="24"/>
          <w:szCs w:val="24"/>
          <w:lang w:val="en-US"/>
        </w:rPr>
      </w:pPr>
      <w:r w:rsidRPr="00FE53D4">
        <w:rPr>
          <w:rFonts w:ascii="Times New Roman" w:hAnsi="Times New Roman" w:cs="Times New Roman"/>
          <w:color w:val="231F20"/>
          <w:sz w:val="24"/>
          <w:szCs w:val="24"/>
          <w:lang w:val="en-US"/>
        </w:rPr>
        <w:t xml:space="preserve">The next level of analysis is the identity and status of the person who is the source of the expression. In general, </w:t>
      </w:r>
      <w:r>
        <w:rPr>
          <w:rFonts w:ascii="Times New Roman" w:hAnsi="Times New Roman" w:cs="Times New Roman"/>
          <w:color w:val="231F20"/>
          <w:sz w:val="24"/>
          <w:szCs w:val="24"/>
          <w:lang w:val="en-US"/>
        </w:rPr>
        <w:t xml:space="preserve">an </w:t>
      </w:r>
      <w:r w:rsidRPr="00FE53D4">
        <w:rPr>
          <w:rFonts w:ascii="Times New Roman" w:hAnsi="Times New Roman" w:cs="Times New Roman"/>
          <w:color w:val="231F20"/>
          <w:sz w:val="24"/>
          <w:szCs w:val="24"/>
          <w:lang w:val="en-US"/>
        </w:rPr>
        <w:t xml:space="preserve">individual with </w:t>
      </w:r>
      <w:r>
        <w:rPr>
          <w:rFonts w:ascii="Times New Roman" w:hAnsi="Times New Roman" w:cs="Times New Roman"/>
          <w:color w:val="231F20"/>
          <w:sz w:val="24"/>
          <w:szCs w:val="24"/>
          <w:lang w:val="en-US"/>
        </w:rPr>
        <w:t xml:space="preserve">a </w:t>
      </w:r>
      <w:r w:rsidRPr="00FE53D4">
        <w:rPr>
          <w:rFonts w:ascii="Times New Roman" w:hAnsi="Times New Roman" w:cs="Times New Roman"/>
          <w:color w:val="231F20"/>
          <w:sz w:val="24"/>
          <w:szCs w:val="24"/>
          <w:lang w:val="en-US"/>
        </w:rPr>
        <w:t xml:space="preserve">higher social status and official position in the society can also have greater influence on the public opinion. Several questions should be answered at this </w:t>
      </w:r>
      <w:r>
        <w:rPr>
          <w:rFonts w:ascii="Times New Roman" w:hAnsi="Times New Roman" w:cs="Times New Roman"/>
          <w:color w:val="231F20"/>
          <w:sz w:val="24"/>
          <w:szCs w:val="24"/>
          <w:lang w:val="en-US"/>
        </w:rPr>
        <w:t>stage</w:t>
      </w:r>
      <w:r w:rsidRPr="00FE53D4">
        <w:rPr>
          <w:rFonts w:ascii="Times New Roman" w:hAnsi="Times New Roman" w:cs="Times New Roman"/>
          <w:color w:val="231F20"/>
          <w:sz w:val="24"/>
          <w:szCs w:val="24"/>
          <w:lang w:val="en-US"/>
        </w:rPr>
        <w:t>:</w:t>
      </w:r>
    </w:p>
    <w:p w:rsidR="009962E3" w:rsidRPr="00FE53D4" w:rsidRDefault="009962E3" w:rsidP="00FE53D4">
      <w:pPr>
        <w:autoSpaceDE w:val="0"/>
        <w:autoSpaceDN w:val="0"/>
        <w:adjustRightInd w:val="0"/>
        <w:spacing w:after="0"/>
        <w:jc w:val="both"/>
        <w:rPr>
          <w:rFonts w:ascii="Times New Roman" w:hAnsi="Times New Roman" w:cs="Times New Roman"/>
          <w:color w:val="231F20"/>
          <w:sz w:val="24"/>
          <w:szCs w:val="24"/>
          <w:lang w:val="en-US"/>
        </w:rPr>
      </w:pPr>
    </w:p>
    <w:p w:rsidR="009962E3" w:rsidRDefault="009962E3" w:rsidP="00620899">
      <w:pPr>
        <w:pStyle w:val="ListParagraph"/>
        <w:numPr>
          <w:ilvl w:val="0"/>
          <w:numId w:val="36"/>
        </w:numPr>
        <w:autoSpaceDE w:val="0"/>
        <w:autoSpaceDN w:val="0"/>
        <w:adjustRightInd w:val="0"/>
        <w:spacing w:after="0"/>
        <w:jc w:val="both"/>
        <w:rPr>
          <w:rFonts w:ascii="Times New Roman" w:hAnsi="Times New Roman"/>
          <w:color w:val="231F20"/>
          <w:sz w:val="24"/>
          <w:szCs w:val="24"/>
        </w:rPr>
      </w:pPr>
      <w:r>
        <w:rPr>
          <w:rFonts w:ascii="Times New Roman" w:hAnsi="Times New Roman"/>
          <w:color w:val="231F20"/>
          <w:sz w:val="24"/>
          <w:szCs w:val="24"/>
        </w:rPr>
        <w:t>Is</w:t>
      </w:r>
      <w:r w:rsidRPr="00FE53D4">
        <w:rPr>
          <w:rFonts w:ascii="Times New Roman" w:hAnsi="Times New Roman"/>
          <w:color w:val="231F20"/>
          <w:sz w:val="24"/>
          <w:szCs w:val="24"/>
        </w:rPr>
        <w:t xml:space="preserve"> the person who gave the public speech/statement in a position to influence the public opinion? Does he/she have </w:t>
      </w:r>
      <w:r>
        <w:rPr>
          <w:rFonts w:ascii="Times New Roman" w:hAnsi="Times New Roman"/>
          <w:color w:val="231F20"/>
          <w:sz w:val="24"/>
          <w:szCs w:val="24"/>
        </w:rPr>
        <w:t xml:space="preserve">the </w:t>
      </w:r>
      <w:r w:rsidRPr="00FE53D4">
        <w:rPr>
          <w:rFonts w:ascii="Times New Roman" w:hAnsi="Times New Roman"/>
          <w:color w:val="231F20"/>
          <w:sz w:val="24"/>
          <w:szCs w:val="24"/>
        </w:rPr>
        <w:t xml:space="preserve">authority to influence </w:t>
      </w:r>
      <w:r>
        <w:rPr>
          <w:rFonts w:ascii="Times New Roman" w:hAnsi="Times New Roman"/>
          <w:color w:val="231F20"/>
          <w:sz w:val="24"/>
          <w:szCs w:val="24"/>
        </w:rPr>
        <w:t>significant parts of the</w:t>
      </w:r>
      <w:r w:rsidRPr="00FE53D4">
        <w:rPr>
          <w:rFonts w:ascii="Times New Roman" w:hAnsi="Times New Roman"/>
          <w:color w:val="231F20"/>
          <w:sz w:val="24"/>
          <w:szCs w:val="24"/>
        </w:rPr>
        <w:t xml:space="preserve"> audience?  </w:t>
      </w:r>
    </w:p>
    <w:p w:rsidR="009962E3" w:rsidRDefault="009962E3" w:rsidP="00620899">
      <w:pPr>
        <w:pStyle w:val="ListParagraph"/>
        <w:numPr>
          <w:ilvl w:val="0"/>
          <w:numId w:val="36"/>
        </w:numPr>
        <w:autoSpaceDE w:val="0"/>
        <w:autoSpaceDN w:val="0"/>
        <w:adjustRightInd w:val="0"/>
        <w:spacing w:before="240" w:after="0"/>
        <w:jc w:val="both"/>
        <w:rPr>
          <w:rFonts w:ascii="Times New Roman" w:hAnsi="Times New Roman"/>
          <w:color w:val="231F20"/>
          <w:sz w:val="24"/>
          <w:szCs w:val="24"/>
        </w:rPr>
      </w:pPr>
      <w:r w:rsidRPr="00FE53D4">
        <w:rPr>
          <w:rFonts w:ascii="Times New Roman" w:hAnsi="Times New Roman"/>
          <w:color w:val="231F20"/>
          <w:sz w:val="24"/>
          <w:szCs w:val="24"/>
        </w:rPr>
        <w:t>Is the person a public official and w</w:t>
      </w:r>
      <w:r>
        <w:rPr>
          <w:rFonts w:ascii="Times New Roman" w:hAnsi="Times New Roman"/>
          <w:color w:val="231F20"/>
          <w:sz w:val="24"/>
          <w:szCs w:val="24"/>
        </w:rPr>
        <w:t>as</w:t>
      </w:r>
      <w:r w:rsidRPr="00FE53D4">
        <w:rPr>
          <w:rFonts w:ascii="Times New Roman" w:hAnsi="Times New Roman"/>
          <w:color w:val="231F20"/>
          <w:sz w:val="24"/>
          <w:szCs w:val="24"/>
        </w:rPr>
        <w:t xml:space="preserve"> the statement </w:t>
      </w:r>
      <w:r>
        <w:rPr>
          <w:rFonts w:ascii="Times New Roman" w:hAnsi="Times New Roman"/>
          <w:color w:val="231F20"/>
          <w:sz w:val="24"/>
          <w:szCs w:val="24"/>
        </w:rPr>
        <w:t>made</w:t>
      </w:r>
      <w:r w:rsidRPr="00FE53D4">
        <w:rPr>
          <w:rFonts w:ascii="Times New Roman" w:hAnsi="Times New Roman"/>
          <w:color w:val="231F20"/>
          <w:sz w:val="24"/>
          <w:szCs w:val="24"/>
        </w:rPr>
        <w:t xml:space="preserve"> in his/her official capacity? Is he/she a politician or prominent member of a political party, having in mind that public officials and politicians have to refrain from </w:t>
      </w:r>
      <w:r>
        <w:rPr>
          <w:rFonts w:ascii="Times New Roman" w:hAnsi="Times New Roman"/>
          <w:color w:val="231F20"/>
          <w:sz w:val="24"/>
          <w:szCs w:val="24"/>
        </w:rPr>
        <w:t xml:space="preserve">making </w:t>
      </w:r>
      <w:r w:rsidRPr="00FE53D4">
        <w:rPr>
          <w:rFonts w:ascii="Times New Roman" w:hAnsi="Times New Roman"/>
          <w:color w:val="231F20"/>
          <w:sz w:val="24"/>
          <w:szCs w:val="24"/>
        </w:rPr>
        <w:t xml:space="preserve">provocative and intolerant statements? </w:t>
      </w:r>
    </w:p>
    <w:p w:rsidR="009962E3" w:rsidRPr="00FE53D4" w:rsidRDefault="009962E3" w:rsidP="00620899">
      <w:pPr>
        <w:pStyle w:val="ListParagraph"/>
        <w:numPr>
          <w:ilvl w:val="0"/>
          <w:numId w:val="36"/>
        </w:numPr>
        <w:autoSpaceDE w:val="0"/>
        <w:autoSpaceDN w:val="0"/>
        <w:adjustRightInd w:val="0"/>
        <w:spacing w:before="240" w:after="0"/>
        <w:jc w:val="both"/>
        <w:rPr>
          <w:rFonts w:ascii="Times New Roman" w:hAnsi="Times New Roman"/>
          <w:color w:val="231F20"/>
          <w:sz w:val="24"/>
          <w:szCs w:val="24"/>
        </w:rPr>
      </w:pPr>
      <w:r>
        <w:rPr>
          <w:rFonts w:ascii="Times New Roman" w:hAnsi="Times New Roman"/>
          <w:color w:val="231F20"/>
          <w:sz w:val="24"/>
          <w:szCs w:val="24"/>
        </w:rPr>
        <w:t xml:space="preserve">Is the person a public figure with a particular status in society (a religious or charismatic leader) that gives him/her stronger influence on the audience? How the audience perceives this person? Do they show excessive respect for authority and are, as such, more susceptible to incitement?      </w:t>
      </w:r>
    </w:p>
    <w:p w:rsidR="009962E3" w:rsidRPr="00D04E7A" w:rsidRDefault="009962E3" w:rsidP="006F778D">
      <w:pPr>
        <w:spacing w:before="100" w:beforeAutospacing="1" w:after="100" w:afterAutospacing="1"/>
        <w:ind w:left="720"/>
        <w:jc w:val="both"/>
        <w:rPr>
          <w:rFonts w:ascii="Times New Roman" w:hAnsi="Times New Roman"/>
          <w:b/>
          <w:bCs/>
          <w:sz w:val="24"/>
          <w:szCs w:val="24"/>
        </w:rPr>
      </w:pPr>
      <w:r w:rsidRPr="00D04E7A">
        <w:rPr>
          <w:rFonts w:ascii="Times New Roman" w:hAnsi="Times New Roman"/>
          <w:b/>
          <w:bCs/>
          <w:sz w:val="24"/>
          <w:szCs w:val="24"/>
        </w:rPr>
        <w:t xml:space="preserve">7.3 </w:t>
      </w:r>
      <w:r w:rsidRPr="00D04E7A">
        <w:rPr>
          <w:rFonts w:ascii="Times New Roman" w:hAnsi="Times New Roman" w:cs="Times New Roman"/>
          <w:b/>
          <w:bCs/>
          <w:sz w:val="24"/>
          <w:szCs w:val="24"/>
          <w:lang w:val="en-US"/>
        </w:rPr>
        <w:t xml:space="preserve">Was there </w:t>
      </w:r>
      <w:r>
        <w:rPr>
          <w:rFonts w:ascii="Times New Roman" w:hAnsi="Times New Roman" w:cs="Times New Roman"/>
          <w:b/>
          <w:bCs/>
          <w:sz w:val="24"/>
          <w:szCs w:val="24"/>
          <w:lang w:val="en-US"/>
        </w:rPr>
        <w:t>an</w:t>
      </w:r>
      <w:r w:rsidRPr="00D04E7A">
        <w:rPr>
          <w:rFonts w:ascii="Times New Roman" w:hAnsi="Times New Roman" w:cs="Times New Roman"/>
          <w:b/>
          <w:bCs/>
          <w:sz w:val="24"/>
          <w:szCs w:val="24"/>
          <w:lang w:val="en-US"/>
        </w:rPr>
        <w:t xml:space="preserve"> intention to provoke hate speech?</w:t>
      </w:r>
    </w:p>
    <w:p w:rsidR="009962E3" w:rsidRPr="00E7199E" w:rsidRDefault="009962E3" w:rsidP="00E7199E">
      <w:pPr>
        <w:autoSpaceDE w:val="0"/>
        <w:autoSpaceDN w:val="0"/>
        <w:adjustRightInd w:val="0"/>
        <w:spacing w:after="0"/>
        <w:jc w:val="both"/>
        <w:rPr>
          <w:rFonts w:ascii="Times New Roman" w:hAnsi="Times New Roman" w:cs="Times New Roman"/>
          <w:color w:val="231F20"/>
          <w:sz w:val="24"/>
          <w:szCs w:val="24"/>
          <w:lang w:val="en-US"/>
        </w:rPr>
      </w:pPr>
      <w:r>
        <w:rPr>
          <w:rFonts w:ascii="Times New Roman" w:hAnsi="Times New Roman" w:cs="Times New Roman"/>
          <w:color w:val="231F20"/>
          <w:sz w:val="24"/>
          <w:szCs w:val="24"/>
          <w:lang w:val="en-US"/>
        </w:rPr>
        <w:t>The n</w:t>
      </w:r>
      <w:r w:rsidRPr="00E7199E">
        <w:rPr>
          <w:rFonts w:ascii="Times New Roman" w:hAnsi="Times New Roman" w:cs="Times New Roman"/>
          <w:color w:val="231F20"/>
          <w:sz w:val="24"/>
          <w:szCs w:val="24"/>
          <w:lang w:val="en-US"/>
        </w:rPr>
        <w:t>ext important component of the assessment is the presence of intention on the part of the speaker. Article 19 define</w:t>
      </w:r>
      <w:r>
        <w:rPr>
          <w:rFonts w:ascii="Times New Roman" w:hAnsi="Times New Roman" w:cs="Times New Roman"/>
          <w:color w:val="231F20"/>
          <w:sz w:val="24"/>
          <w:szCs w:val="24"/>
          <w:lang w:val="en-US"/>
        </w:rPr>
        <w:t>s</w:t>
      </w:r>
      <w:r w:rsidRPr="00E7199E">
        <w:rPr>
          <w:rFonts w:ascii="Times New Roman" w:hAnsi="Times New Roman" w:cs="Times New Roman"/>
          <w:color w:val="231F20"/>
          <w:sz w:val="24"/>
          <w:szCs w:val="24"/>
          <w:lang w:val="en-US"/>
        </w:rPr>
        <w:t xml:space="preserve"> intent as a “</w:t>
      </w:r>
      <w:r>
        <w:rPr>
          <w:rFonts w:ascii="Times New Roman" w:hAnsi="Times New Roman" w:cs="Times New Roman"/>
          <w:color w:val="231F20"/>
          <w:sz w:val="24"/>
          <w:szCs w:val="24"/>
          <w:lang w:val="en-US"/>
        </w:rPr>
        <w:t>v</w:t>
      </w:r>
      <w:r w:rsidRPr="00E7199E">
        <w:rPr>
          <w:rFonts w:ascii="Times New Roman" w:hAnsi="Times New Roman" w:cs="Times New Roman"/>
          <w:color w:val="231F20"/>
          <w:sz w:val="24"/>
          <w:szCs w:val="24"/>
          <w:lang w:val="en-US"/>
        </w:rPr>
        <w:t xml:space="preserve">olition (purposely striving) to engage in advocacy to hatred, ... </w:t>
      </w:r>
      <w:r>
        <w:rPr>
          <w:rFonts w:ascii="Times New Roman" w:hAnsi="Times New Roman" w:cs="Times New Roman"/>
          <w:color w:val="231F20"/>
          <w:sz w:val="24"/>
          <w:szCs w:val="24"/>
          <w:lang w:val="en-US"/>
        </w:rPr>
        <w:t>aimed at</w:t>
      </w:r>
      <w:r w:rsidRPr="00E7199E">
        <w:rPr>
          <w:rFonts w:ascii="Times New Roman" w:hAnsi="Times New Roman" w:cs="Times New Roman"/>
          <w:color w:val="231F20"/>
          <w:sz w:val="24"/>
          <w:szCs w:val="24"/>
          <w:lang w:val="en-US"/>
        </w:rPr>
        <w:t xml:space="preserve"> a protected group on the basis of prohibitive grounds, </w:t>
      </w:r>
      <w:r>
        <w:rPr>
          <w:rFonts w:ascii="Times New Roman" w:hAnsi="Times New Roman" w:cs="Times New Roman"/>
          <w:color w:val="231F20"/>
          <w:sz w:val="24"/>
          <w:szCs w:val="24"/>
          <w:lang w:val="en-US"/>
        </w:rPr>
        <w:t>while being aware</w:t>
      </w:r>
      <w:r w:rsidRPr="00E7199E">
        <w:rPr>
          <w:rFonts w:ascii="Times New Roman" w:hAnsi="Times New Roman" w:cs="Times New Roman"/>
          <w:color w:val="231F20"/>
          <w:sz w:val="24"/>
          <w:szCs w:val="24"/>
          <w:lang w:val="en-US"/>
        </w:rPr>
        <w:t xml:space="preserve"> of the consequences of his/her action and knowing that the consequences will occur or m</w:t>
      </w:r>
      <w:r>
        <w:rPr>
          <w:rFonts w:ascii="Times New Roman" w:hAnsi="Times New Roman" w:cs="Times New Roman"/>
          <w:color w:val="231F20"/>
          <w:sz w:val="24"/>
          <w:szCs w:val="24"/>
          <w:lang w:val="en-US"/>
        </w:rPr>
        <w:t>ay</w:t>
      </w:r>
      <w:r w:rsidRPr="00E7199E">
        <w:rPr>
          <w:rFonts w:ascii="Times New Roman" w:hAnsi="Times New Roman" w:cs="Times New Roman"/>
          <w:color w:val="231F20"/>
          <w:sz w:val="24"/>
          <w:szCs w:val="24"/>
          <w:lang w:val="en-US"/>
        </w:rPr>
        <w:t xml:space="preserve"> occur in the ordinary course of events.”</w:t>
      </w:r>
      <w:r>
        <w:rPr>
          <w:rStyle w:val="FootnoteReference"/>
          <w:rFonts w:ascii="Times New Roman" w:hAnsi="Times New Roman"/>
          <w:color w:val="231F20"/>
          <w:sz w:val="24"/>
          <w:szCs w:val="24"/>
          <w:lang w:val="en-US"/>
        </w:rPr>
        <w:footnoteReference w:id="25"/>
      </w:r>
    </w:p>
    <w:p w:rsidR="009962E3" w:rsidRDefault="009962E3" w:rsidP="004E1FB5">
      <w:pPr>
        <w:autoSpaceDE w:val="0"/>
        <w:autoSpaceDN w:val="0"/>
        <w:adjustRightInd w:val="0"/>
        <w:spacing w:after="0" w:line="240" w:lineRule="auto"/>
        <w:rPr>
          <w:rFonts w:ascii="Franklin Gothic Medium" w:hAnsi="Franklin Gothic Medium" w:cs="Franklin Gothic Medium"/>
          <w:color w:val="231F20"/>
          <w:sz w:val="18"/>
          <w:szCs w:val="18"/>
          <w:lang w:val="en-US"/>
        </w:rPr>
      </w:pPr>
    </w:p>
    <w:p w:rsidR="009962E3" w:rsidRDefault="009962E3" w:rsidP="00600E65">
      <w:pPr>
        <w:autoSpaceDE w:val="0"/>
        <w:autoSpaceDN w:val="0"/>
        <w:adjustRightInd w:val="0"/>
        <w:spacing w:after="0"/>
        <w:jc w:val="both"/>
        <w:rPr>
          <w:rFonts w:ascii="Times New Roman" w:hAnsi="Times New Roman" w:cs="Times New Roman"/>
          <w:bCs/>
          <w:sz w:val="24"/>
          <w:szCs w:val="24"/>
          <w:lang w:val="en-US"/>
        </w:rPr>
      </w:pPr>
      <w:r w:rsidRPr="001C06B2">
        <w:rPr>
          <w:rFonts w:ascii="Times New Roman" w:hAnsi="Times New Roman" w:cs="Times New Roman"/>
          <w:bCs/>
          <w:sz w:val="24"/>
          <w:szCs w:val="24"/>
          <w:lang w:val="en-US"/>
        </w:rPr>
        <w:t>The</w:t>
      </w:r>
      <w:r>
        <w:rPr>
          <w:rFonts w:ascii="Times New Roman" w:hAnsi="Times New Roman" w:cs="Times New Roman"/>
          <w:bCs/>
          <w:sz w:val="24"/>
          <w:szCs w:val="24"/>
          <w:lang w:val="en-US"/>
        </w:rPr>
        <w:t xml:space="preserve"> presence of</w:t>
      </w:r>
      <w:r w:rsidRPr="001C06B2">
        <w:rPr>
          <w:rFonts w:ascii="Times New Roman" w:hAnsi="Times New Roman" w:cs="Times New Roman"/>
          <w:bCs/>
          <w:sz w:val="24"/>
          <w:szCs w:val="24"/>
          <w:lang w:val="en-US"/>
        </w:rPr>
        <w:t xml:space="preserve"> intent </w:t>
      </w:r>
      <w:r>
        <w:rPr>
          <w:rFonts w:ascii="Times New Roman" w:hAnsi="Times New Roman" w:cs="Times New Roman"/>
          <w:bCs/>
          <w:sz w:val="24"/>
          <w:szCs w:val="24"/>
          <w:lang w:val="en-US"/>
        </w:rPr>
        <w:t>is difficult to be proven u</w:t>
      </w:r>
      <w:r w:rsidRPr="001C06B2">
        <w:rPr>
          <w:rFonts w:ascii="Times New Roman" w:hAnsi="Times New Roman" w:cs="Times New Roman"/>
          <w:bCs/>
          <w:sz w:val="24"/>
          <w:szCs w:val="24"/>
          <w:lang w:val="en-US"/>
        </w:rPr>
        <w:t>nless the person</w:t>
      </w:r>
      <w:r>
        <w:rPr>
          <w:rFonts w:ascii="Times New Roman" w:hAnsi="Times New Roman" w:cs="Times New Roman"/>
          <w:bCs/>
          <w:sz w:val="24"/>
          <w:szCs w:val="24"/>
          <w:lang w:val="en-US"/>
        </w:rPr>
        <w:t xml:space="preserve"> </w:t>
      </w:r>
      <w:r w:rsidRPr="001C06B2">
        <w:rPr>
          <w:rFonts w:ascii="Times New Roman" w:hAnsi="Times New Roman" w:cs="Times New Roman"/>
          <w:bCs/>
          <w:sz w:val="24"/>
          <w:szCs w:val="24"/>
          <w:lang w:val="en-US"/>
        </w:rPr>
        <w:t xml:space="preserve">admits </w:t>
      </w:r>
      <w:r>
        <w:rPr>
          <w:rFonts w:ascii="Times New Roman" w:hAnsi="Times New Roman" w:cs="Times New Roman"/>
          <w:bCs/>
          <w:sz w:val="24"/>
          <w:szCs w:val="24"/>
          <w:lang w:val="en-US"/>
        </w:rPr>
        <w:t xml:space="preserve">explicitly </w:t>
      </w:r>
      <w:r w:rsidRPr="001C06B2">
        <w:rPr>
          <w:rFonts w:ascii="Times New Roman" w:hAnsi="Times New Roman" w:cs="Times New Roman"/>
          <w:bCs/>
          <w:sz w:val="24"/>
          <w:szCs w:val="24"/>
          <w:lang w:val="en-US"/>
        </w:rPr>
        <w:t xml:space="preserve">his/her </w:t>
      </w:r>
      <w:r>
        <w:rPr>
          <w:rFonts w:ascii="Times New Roman" w:hAnsi="Times New Roman" w:cs="Times New Roman"/>
          <w:bCs/>
          <w:sz w:val="24"/>
          <w:szCs w:val="24"/>
          <w:lang w:val="en-US"/>
        </w:rPr>
        <w:t>intentions</w:t>
      </w:r>
      <w:r w:rsidRPr="001C06B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The ECHR and other courts </w:t>
      </w:r>
      <w:r w:rsidRPr="001C06B2">
        <w:rPr>
          <w:rFonts w:ascii="Times New Roman" w:hAnsi="Times New Roman" w:cs="Times New Roman"/>
          <w:bCs/>
          <w:sz w:val="24"/>
          <w:szCs w:val="24"/>
          <w:lang w:val="en-US"/>
        </w:rPr>
        <w:t>decide</w:t>
      </w:r>
      <w:r>
        <w:rPr>
          <w:rFonts w:ascii="Times New Roman" w:hAnsi="Times New Roman" w:cs="Times New Roman"/>
          <w:bCs/>
          <w:sz w:val="24"/>
          <w:szCs w:val="24"/>
          <w:lang w:val="en-US"/>
        </w:rPr>
        <w:t xml:space="preserve"> </w:t>
      </w:r>
      <w:r w:rsidRPr="001C06B2">
        <w:rPr>
          <w:rFonts w:ascii="Times New Roman" w:hAnsi="Times New Roman" w:cs="Times New Roman"/>
          <w:bCs/>
          <w:sz w:val="24"/>
          <w:szCs w:val="24"/>
          <w:lang w:val="en-US"/>
        </w:rPr>
        <w:t xml:space="preserve">about </w:t>
      </w:r>
      <w:r>
        <w:rPr>
          <w:rFonts w:ascii="Times New Roman" w:hAnsi="Times New Roman" w:cs="Times New Roman"/>
          <w:bCs/>
          <w:sz w:val="24"/>
          <w:szCs w:val="24"/>
          <w:lang w:val="en-US"/>
        </w:rPr>
        <w:t>i</w:t>
      </w:r>
      <w:r w:rsidRPr="001C06B2">
        <w:rPr>
          <w:rFonts w:ascii="Times New Roman" w:hAnsi="Times New Roman" w:cs="Times New Roman"/>
          <w:bCs/>
          <w:sz w:val="24"/>
          <w:szCs w:val="24"/>
          <w:lang w:val="en-US"/>
        </w:rPr>
        <w:t>ntent based on an assessment of the</w:t>
      </w:r>
      <w:r>
        <w:rPr>
          <w:rFonts w:ascii="Times New Roman" w:hAnsi="Times New Roman" w:cs="Times New Roman"/>
          <w:bCs/>
          <w:sz w:val="24"/>
          <w:szCs w:val="24"/>
          <w:lang w:val="en-US"/>
        </w:rPr>
        <w:t xml:space="preserve"> </w:t>
      </w:r>
      <w:r w:rsidRPr="001C06B2">
        <w:rPr>
          <w:rFonts w:ascii="Times New Roman" w:hAnsi="Times New Roman" w:cs="Times New Roman"/>
          <w:bCs/>
          <w:sz w:val="24"/>
          <w:szCs w:val="24"/>
          <w:lang w:val="en-US"/>
        </w:rPr>
        <w:t xml:space="preserve">case and its circumstances as a whole. </w:t>
      </w:r>
      <w:r>
        <w:rPr>
          <w:rFonts w:ascii="Times New Roman" w:hAnsi="Times New Roman" w:cs="Times New Roman"/>
          <w:bCs/>
          <w:sz w:val="24"/>
          <w:szCs w:val="24"/>
          <w:lang w:val="en-US"/>
        </w:rPr>
        <w:t>Other</w:t>
      </w:r>
      <w:r w:rsidRPr="001C06B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important </w:t>
      </w:r>
      <w:r w:rsidRPr="001C06B2">
        <w:rPr>
          <w:rFonts w:ascii="Times New Roman" w:hAnsi="Times New Roman" w:cs="Times New Roman"/>
          <w:bCs/>
          <w:sz w:val="24"/>
          <w:szCs w:val="24"/>
          <w:lang w:val="en-US"/>
        </w:rPr>
        <w:t xml:space="preserve">aspects examined by the </w:t>
      </w:r>
      <w:r>
        <w:rPr>
          <w:rFonts w:ascii="Times New Roman" w:hAnsi="Times New Roman" w:cs="Times New Roman"/>
          <w:bCs/>
          <w:sz w:val="24"/>
          <w:szCs w:val="24"/>
          <w:lang w:val="en-US"/>
        </w:rPr>
        <w:t xml:space="preserve">ECHR </w:t>
      </w:r>
      <w:r w:rsidRPr="001C06B2">
        <w:rPr>
          <w:rFonts w:ascii="Times New Roman" w:hAnsi="Times New Roman" w:cs="Times New Roman"/>
          <w:bCs/>
          <w:sz w:val="24"/>
          <w:szCs w:val="24"/>
          <w:lang w:val="en-US"/>
        </w:rPr>
        <w:t xml:space="preserve">include the following </w:t>
      </w:r>
      <w:r>
        <w:rPr>
          <w:rFonts w:ascii="Times New Roman" w:hAnsi="Times New Roman" w:cs="Times New Roman"/>
          <w:bCs/>
          <w:sz w:val="24"/>
          <w:szCs w:val="24"/>
          <w:lang w:val="en-US"/>
        </w:rPr>
        <w:t>questions</w:t>
      </w:r>
      <w:r w:rsidRPr="001C06B2">
        <w:rPr>
          <w:rFonts w:ascii="Times New Roman" w:hAnsi="Times New Roman" w:cs="Times New Roman"/>
          <w:bCs/>
          <w:sz w:val="24"/>
          <w:szCs w:val="24"/>
          <w:lang w:val="en-US"/>
        </w:rPr>
        <w:t>:</w:t>
      </w:r>
      <w:r>
        <w:rPr>
          <w:rFonts w:ascii="Times New Roman" w:hAnsi="Times New Roman" w:cs="Times New Roman"/>
          <w:bCs/>
          <w:sz w:val="24"/>
          <w:szCs w:val="24"/>
          <w:lang w:val="en-US"/>
        </w:rPr>
        <w:tab/>
      </w:r>
      <w:r>
        <w:rPr>
          <w:rFonts w:ascii="Times New Roman" w:hAnsi="Times New Roman" w:cs="Times New Roman"/>
          <w:bCs/>
          <w:sz w:val="24"/>
          <w:szCs w:val="24"/>
          <w:lang w:val="en-US"/>
        </w:rPr>
        <w:br/>
      </w:r>
    </w:p>
    <w:p w:rsidR="009962E3" w:rsidRDefault="009962E3" w:rsidP="00620899">
      <w:pPr>
        <w:pStyle w:val="ListParagraph"/>
        <w:numPr>
          <w:ilvl w:val="0"/>
          <w:numId w:val="36"/>
        </w:numPr>
        <w:autoSpaceDE w:val="0"/>
        <w:autoSpaceDN w:val="0"/>
        <w:adjustRightInd w:val="0"/>
        <w:jc w:val="both"/>
        <w:rPr>
          <w:rFonts w:ascii="Times New Roman" w:hAnsi="Times New Roman"/>
          <w:bCs/>
          <w:sz w:val="24"/>
          <w:szCs w:val="24"/>
        </w:rPr>
      </w:pPr>
      <w:r w:rsidRPr="000B5FB3">
        <w:rPr>
          <w:rFonts w:ascii="Times New Roman" w:hAnsi="Times New Roman"/>
          <w:bCs/>
          <w:sz w:val="24"/>
          <w:szCs w:val="24"/>
        </w:rPr>
        <w:t xml:space="preserve">What specific language (wording or expression) </w:t>
      </w:r>
      <w:r>
        <w:rPr>
          <w:rFonts w:ascii="Times New Roman" w:hAnsi="Times New Roman"/>
          <w:bCs/>
          <w:sz w:val="24"/>
          <w:szCs w:val="24"/>
        </w:rPr>
        <w:t xml:space="preserve">did </w:t>
      </w:r>
      <w:r w:rsidRPr="000B5FB3">
        <w:rPr>
          <w:rFonts w:ascii="Times New Roman" w:hAnsi="Times New Roman"/>
          <w:bCs/>
          <w:sz w:val="24"/>
          <w:szCs w:val="24"/>
        </w:rPr>
        <w:t xml:space="preserve">the speaker use? How explicit </w:t>
      </w:r>
      <w:r>
        <w:rPr>
          <w:rFonts w:ascii="Times New Roman" w:hAnsi="Times New Roman"/>
          <w:bCs/>
          <w:sz w:val="24"/>
          <w:szCs w:val="24"/>
        </w:rPr>
        <w:t xml:space="preserve">was </w:t>
      </w:r>
      <w:r w:rsidRPr="000B5FB3">
        <w:rPr>
          <w:rFonts w:ascii="Times New Roman" w:hAnsi="Times New Roman"/>
          <w:bCs/>
          <w:sz w:val="24"/>
          <w:szCs w:val="24"/>
        </w:rPr>
        <w:t>the language? What was the tone of the speech and the circumstances in which it was disseminated</w:t>
      </w:r>
      <w:r>
        <w:rPr>
          <w:rFonts w:ascii="Times New Roman" w:hAnsi="Times New Roman"/>
          <w:bCs/>
          <w:sz w:val="24"/>
          <w:szCs w:val="24"/>
        </w:rPr>
        <w:t xml:space="preserve">? </w:t>
      </w:r>
    </w:p>
    <w:p w:rsidR="009962E3" w:rsidRDefault="009962E3" w:rsidP="00620899">
      <w:pPr>
        <w:pStyle w:val="ListParagraph"/>
        <w:numPr>
          <w:ilvl w:val="0"/>
          <w:numId w:val="37"/>
        </w:numPr>
        <w:autoSpaceDE w:val="0"/>
        <w:autoSpaceDN w:val="0"/>
        <w:adjustRightInd w:val="0"/>
        <w:spacing w:before="240" w:after="0"/>
        <w:jc w:val="both"/>
        <w:rPr>
          <w:rFonts w:ascii="Times New Roman" w:hAnsi="Times New Roman"/>
          <w:bCs/>
          <w:sz w:val="24"/>
          <w:szCs w:val="24"/>
        </w:rPr>
      </w:pPr>
      <w:r w:rsidRPr="00B5446E">
        <w:rPr>
          <w:rFonts w:ascii="Times New Roman" w:hAnsi="Times New Roman"/>
          <w:bCs/>
          <w:sz w:val="24"/>
          <w:szCs w:val="24"/>
        </w:rPr>
        <w:t>Given the context, w</w:t>
      </w:r>
      <w:r>
        <w:rPr>
          <w:rFonts w:ascii="Times New Roman" w:hAnsi="Times New Roman"/>
          <w:bCs/>
          <w:sz w:val="24"/>
          <w:szCs w:val="24"/>
        </w:rPr>
        <w:t>as</w:t>
      </w:r>
      <w:r w:rsidRPr="00B5446E">
        <w:rPr>
          <w:rFonts w:ascii="Times New Roman" w:hAnsi="Times New Roman"/>
          <w:bCs/>
          <w:sz w:val="24"/>
          <w:szCs w:val="24"/>
        </w:rPr>
        <w:t xml:space="preserve"> the speaker’s intent unambiguous and clear to its audience? Could </w:t>
      </w:r>
      <w:r>
        <w:rPr>
          <w:rFonts w:ascii="Times New Roman" w:hAnsi="Times New Roman"/>
          <w:bCs/>
          <w:sz w:val="24"/>
          <w:szCs w:val="24"/>
        </w:rPr>
        <w:t>it be that the speaker</w:t>
      </w:r>
      <w:r w:rsidRPr="00B5446E">
        <w:rPr>
          <w:rFonts w:ascii="Times New Roman" w:hAnsi="Times New Roman"/>
          <w:bCs/>
          <w:sz w:val="24"/>
          <w:szCs w:val="24"/>
        </w:rPr>
        <w:t xml:space="preserve"> ha</w:t>
      </w:r>
      <w:r>
        <w:rPr>
          <w:rFonts w:ascii="Times New Roman" w:hAnsi="Times New Roman"/>
          <w:bCs/>
          <w:sz w:val="24"/>
          <w:szCs w:val="24"/>
        </w:rPr>
        <w:t xml:space="preserve">d </w:t>
      </w:r>
      <w:r w:rsidRPr="00B5446E">
        <w:rPr>
          <w:rFonts w:ascii="Times New Roman" w:hAnsi="Times New Roman"/>
          <w:bCs/>
          <w:sz w:val="24"/>
          <w:szCs w:val="24"/>
        </w:rPr>
        <w:t xml:space="preserve">something </w:t>
      </w:r>
      <w:r>
        <w:rPr>
          <w:rFonts w:ascii="Times New Roman" w:hAnsi="Times New Roman"/>
          <w:bCs/>
          <w:sz w:val="24"/>
          <w:szCs w:val="24"/>
        </w:rPr>
        <w:t>else</w:t>
      </w:r>
      <w:r w:rsidRPr="00B5446E">
        <w:rPr>
          <w:rFonts w:ascii="Times New Roman" w:hAnsi="Times New Roman"/>
          <w:bCs/>
          <w:sz w:val="24"/>
          <w:szCs w:val="24"/>
        </w:rPr>
        <w:t xml:space="preserve"> </w:t>
      </w:r>
      <w:r>
        <w:rPr>
          <w:rFonts w:ascii="Times New Roman" w:hAnsi="Times New Roman"/>
          <w:bCs/>
          <w:sz w:val="24"/>
          <w:szCs w:val="24"/>
        </w:rPr>
        <w:t xml:space="preserve">in mind rather </w:t>
      </w:r>
      <w:r w:rsidRPr="00B5446E">
        <w:rPr>
          <w:rFonts w:ascii="Times New Roman" w:hAnsi="Times New Roman"/>
          <w:bCs/>
          <w:sz w:val="24"/>
          <w:szCs w:val="24"/>
        </w:rPr>
        <w:t xml:space="preserve">than to incite hatred? </w:t>
      </w:r>
      <w:r>
        <w:rPr>
          <w:rFonts w:ascii="Times New Roman" w:hAnsi="Times New Roman"/>
          <w:bCs/>
          <w:sz w:val="24"/>
          <w:szCs w:val="24"/>
        </w:rPr>
        <w:t xml:space="preserve">Was the speaker’s aim to inform the public </w:t>
      </w:r>
      <w:r w:rsidRPr="001C06B2">
        <w:rPr>
          <w:rFonts w:ascii="Times New Roman" w:hAnsi="Times New Roman"/>
          <w:bCs/>
          <w:sz w:val="24"/>
          <w:szCs w:val="24"/>
        </w:rPr>
        <w:t>about a matter of general interest</w:t>
      </w:r>
      <w:r>
        <w:rPr>
          <w:rFonts w:ascii="Times New Roman" w:hAnsi="Times New Roman"/>
          <w:bCs/>
          <w:sz w:val="24"/>
          <w:szCs w:val="24"/>
        </w:rPr>
        <w:t xml:space="preserve"> (objective journalistic reporting, historical or documentary)?</w:t>
      </w:r>
      <w:r w:rsidRPr="001C06B2">
        <w:rPr>
          <w:rFonts w:ascii="Times New Roman" w:hAnsi="Times New Roman"/>
          <w:bCs/>
          <w:sz w:val="24"/>
          <w:szCs w:val="24"/>
        </w:rPr>
        <w:t xml:space="preserve"> </w:t>
      </w:r>
    </w:p>
    <w:p w:rsidR="009962E3" w:rsidRDefault="009962E3" w:rsidP="00620899">
      <w:pPr>
        <w:pStyle w:val="ListParagraph"/>
        <w:numPr>
          <w:ilvl w:val="0"/>
          <w:numId w:val="37"/>
        </w:numPr>
        <w:autoSpaceDE w:val="0"/>
        <w:autoSpaceDN w:val="0"/>
        <w:adjustRightInd w:val="0"/>
        <w:spacing w:before="240" w:after="0"/>
        <w:jc w:val="both"/>
        <w:rPr>
          <w:rFonts w:ascii="Times New Roman" w:hAnsi="Times New Roman"/>
          <w:bCs/>
          <w:sz w:val="24"/>
          <w:szCs w:val="24"/>
        </w:rPr>
      </w:pPr>
      <w:r>
        <w:rPr>
          <w:rFonts w:ascii="Times New Roman" w:hAnsi="Times New Roman"/>
          <w:bCs/>
          <w:sz w:val="24"/>
          <w:szCs w:val="24"/>
        </w:rPr>
        <w:t xml:space="preserve">What was the scale and number of repetitions of the message? Did the speaker repeat the discriminatory speech over time and on several occasions? </w:t>
      </w:r>
    </w:p>
    <w:p w:rsidR="009962E3" w:rsidRDefault="009962E3" w:rsidP="00620899">
      <w:pPr>
        <w:pStyle w:val="ListParagraph"/>
        <w:numPr>
          <w:ilvl w:val="0"/>
          <w:numId w:val="37"/>
        </w:numPr>
        <w:autoSpaceDE w:val="0"/>
        <w:autoSpaceDN w:val="0"/>
        <w:adjustRightInd w:val="0"/>
        <w:spacing w:before="240" w:after="0"/>
        <w:jc w:val="both"/>
        <w:rPr>
          <w:rFonts w:ascii="Times New Roman" w:hAnsi="Times New Roman"/>
          <w:bCs/>
          <w:sz w:val="24"/>
          <w:szCs w:val="24"/>
        </w:rPr>
      </w:pPr>
      <w:r w:rsidRPr="00B5446E">
        <w:rPr>
          <w:rFonts w:ascii="Times New Roman" w:hAnsi="Times New Roman"/>
          <w:bCs/>
          <w:sz w:val="24"/>
          <w:szCs w:val="24"/>
        </w:rPr>
        <w:t xml:space="preserve">Could </w:t>
      </w:r>
      <w:r>
        <w:rPr>
          <w:rFonts w:ascii="Times New Roman" w:hAnsi="Times New Roman"/>
          <w:bCs/>
          <w:sz w:val="24"/>
          <w:szCs w:val="24"/>
        </w:rPr>
        <w:t>the speaker</w:t>
      </w:r>
      <w:r w:rsidRPr="00B5446E">
        <w:rPr>
          <w:rFonts w:ascii="Times New Roman" w:hAnsi="Times New Roman"/>
          <w:bCs/>
          <w:sz w:val="24"/>
          <w:szCs w:val="24"/>
        </w:rPr>
        <w:t xml:space="preserve"> predict the likely impact of his/her speech?</w:t>
      </w:r>
      <w:r>
        <w:rPr>
          <w:rFonts w:ascii="Times New Roman" w:hAnsi="Times New Roman"/>
          <w:bCs/>
          <w:sz w:val="24"/>
          <w:szCs w:val="24"/>
        </w:rPr>
        <w:t xml:space="preserve"> </w:t>
      </w:r>
      <w:r w:rsidRPr="00DD2EFF">
        <w:rPr>
          <w:rFonts w:ascii="Times New Roman" w:hAnsi="Times New Roman"/>
          <w:bCs/>
          <w:sz w:val="24"/>
          <w:szCs w:val="24"/>
        </w:rPr>
        <w:t xml:space="preserve">Was the speaker </w:t>
      </w:r>
      <w:r>
        <w:rPr>
          <w:rFonts w:ascii="Times New Roman" w:hAnsi="Times New Roman"/>
          <w:bCs/>
          <w:sz w:val="24"/>
          <w:szCs w:val="24"/>
        </w:rPr>
        <w:t>aiming</w:t>
      </w:r>
      <w:r>
        <w:rPr>
          <w:rFonts w:ascii="Times New Roman" w:hAnsi="Times New Roman"/>
          <w:bCs/>
          <w:sz w:val="24"/>
          <w:szCs w:val="24"/>
          <w:lang w:val="mk-MK"/>
        </w:rPr>
        <w:t xml:space="preserve"> </w:t>
      </w:r>
      <w:r>
        <w:rPr>
          <w:rFonts w:ascii="Times New Roman" w:hAnsi="Times New Roman"/>
          <w:bCs/>
          <w:sz w:val="24"/>
          <w:szCs w:val="24"/>
        </w:rPr>
        <w:t xml:space="preserve">at </w:t>
      </w:r>
      <w:r w:rsidRPr="00DD2EFF">
        <w:rPr>
          <w:rFonts w:ascii="Times New Roman" w:hAnsi="Times New Roman"/>
          <w:bCs/>
          <w:sz w:val="24"/>
          <w:szCs w:val="24"/>
        </w:rPr>
        <w:t>any specific minority/religious group?</w:t>
      </w:r>
      <w:r>
        <w:rPr>
          <w:rFonts w:ascii="Times New Roman" w:hAnsi="Times New Roman"/>
          <w:bCs/>
          <w:sz w:val="24"/>
          <w:szCs w:val="24"/>
        </w:rPr>
        <w:t xml:space="preserve"> </w:t>
      </w:r>
      <w:r w:rsidRPr="00DD2EFF">
        <w:rPr>
          <w:rFonts w:ascii="Times New Roman" w:hAnsi="Times New Roman"/>
          <w:bCs/>
          <w:sz w:val="24"/>
          <w:szCs w:val="24"/>
        </w:rPr>
        <w:t>W</w:t>
      </w:r>
      <w:r>
        <w:rPr>
          <w:rFonts w:ascii="Times New Roman" w:hAnsi="Times New Roman"/>
          <w:bCs/>
          <w:sz w:val="24"/>
          <w:szCs w:val="24"/>
        </w:rPr>
        <w:t>as</w:t>
      </w:r>
      <w:r w:rsidRPr="00DD2EFF">
        <w:rPr>
          <w:rFonts w:ascii="Times New Roman" w:hAnsi="Times New Roman"/>
          <w:bCs/>
          <w:sz w:val="24"/>
          <w:szCs w:val="24"/>
        </w:rPr>
        <w:t xml:space="preserve"> the speaker’s intent unambiguous and clear to its audience?</w:t>
      </w:r>
    </w:p>
    <w:p w:rsidR="009962E3" w:rsidRPr="00692C88" w:rsidRDefault="009962E3" w:rsidP="006F778D">
      <w:pPr>
        <w:spacing w:before="100" w:beforeAutospacing="1" w:after="100" w:afterAutospacing="1"/>
        <w:ind w:left="360"/>
        <w:jc w:val="both"/>
        <w:rPr>
          <w:rFonts w:ascii="Times New Roman" w:hAnsi="Times New Roman"/>
          <w:b/>
          <w:bCs/>
          <w:sz w:val="24"/>
          <w:szCs w:val="24"/>
        </w:rPr>
      </w:pPr>
      <w:r>
        <w:rPr>
          <w:rFonts w:ascii="Times New Roman" w:hAnsi="Times New Roman"/>
          <w:b/>
          <w:bCs/>
          <w:sz w:val="24"/>
          <w:szCs w:val="24"/>
        </w:rPr>
        <w:tab/>
      </w:r>
      <w:r w:rsidRPr="00692C88">
        <w:rPr>
          <w:rFonts w:ascii="Times New Roman" w:hAnsi="Times New Roman"/>
          <w:b/>
          <w:bCs/>
          <w:sz w:val="24"/>
          <w:szCs w:val="24"/>
        </w:rPr>
        <w:t xml:space="preserve">7.4 </w:t>
      </w:r>
      <w:r w:rsidRPr="00692C88">
        <w:rPr>
          <w:rFonts w:ascii="Times New Roman" w:hAnsi="Times New Roman" w:cs="Times New Roman"/>
          <w:b/>
          <w:bCs/>
          <w:sz w:val="24"/>
          <w:szCs w:val="24"/>
          <w:lang w:val="en-US"/>
        </w:rPr>
        <w:t xml:space="preserve">What was the content of the expression? </w:t>
      </w:r>
    </w:p>
    <w:p w:rsidR="009962E3" w:rsidRDefault="009962E3" w:rsidP="0098583E">
      <w:pPr>
        <w:autoSpaceDE w:val="0"/>
        <w:autoSpaceDN w:val="0"/>
        <w:adjustRightInd w:val="0"/>
        <w:spacing w:after="0"/>
        <w:jc w:val="both"/>
        <w:rPr>
          <w:rFonts w:ascii="Times New Roman" w:hAnsi="Times New Roman" w:cs="Times New Roman"/>
          <w:color w:val="231F20"/>
          <w:sz w:val="24"/>
          <w:szCs w:val="24"/>
          <w:lang w:val="en-US"/>
        </w:rPr>
      </w:pPr>
      <w:r w:rsidRPr="0098583E">
        <w:rPr>
          <w:rFonts w:ascii="Times New Roman" w:hAnsi="Times New Roman" w:cs="Times New Roman"/>
          <w:color w:val="231F20"/>
          <w:sz w:val="24"/>
          <w:szCs w:val="24"/>
          <w:lang w:val="en-US"/>
        </w:rPr>
        <w:t xml:space="preserve">The content of </w:t>
      </w:r>
      <w:r>
        <w:rPr>
          <w:rFonts w:ascii="Times New Roman" w:hAnsi="Times New Roman" w:cs="Times New Roman"/>
          <w:color w:val="231F20"/>
          <w:sz w:val="24"/>
          <w:szCs w:val="24"/>
          <w:lang w:val="en-US"/>
        </w:rPr>
        <w:t>a</w:t>
      </w:r>
      <w:r w:rsidRPr="0098583E">
        <w:rPr>
          <w:rFonts w:ascii="Times New Roman" w:hAnsi="Times New Roman" w:cs="Times New Roman"/>
          <w:color w:val="231F20"/>
          <w:sz w:val="24"/>
          <w:szCs w:val="24"/>
          <w:lang w:val="en-US"/>
        </w:rPr>
        <w:t xml:space="preserve"> specific expression is the next critical aspect to be analyzed.  It is concerned with</w:t>
      </w:r>
      <w:r>
        <w:rPr>
          <w:rFonts w:ascii="Times New Roman" w:hAnsi="Times New Roman" w:cs="Times New Roman"/>
          <w:color w:val="231F20"/>
          <w:sz w:val="24"/>
          <w:szCs w:val="24"/>
          <w:lang w:val="en-US"/>
        </w:rPr>
        <w:t>:</w:t>
      </w:r>
      <w:r w:rsidRPr="0098583E">
        <w:rPr>
          <w:rFonts w:ascii="Times New Roman" w:hAnsi="Times New Roman" w:cs="Times New Roman"/>
          <w:color w:val="231F20"/>
          <w:sz w:val="24"/>
          <w:szCs w:val="24"/>
          <w:lang w:val="en-US"/>
        </w:rPr>
        <w:t xml:space="preserve"> what was said,</w:t>
      </w:r>
      <w:r>
        <w:rPr>
          <w:rFonts w:ascii="Times New Roman" w:hAnsi="Times New Roman" w:cs="Times New Roman"/>
          <w:color w:val="231F20"/>
          <w:sz w:val="24"/>
          <w:szCs w:val="24"/>
          <w:lang w:val="en-US"/>
        </w:rPr>
        <w:t xml:space="preserve"> </w:t>
      </w:r>
      <w:r w:rsidRPr="0098583E">
        <w:rPr>
          <w:rFonts w:ascii="Times New Roman" w:hAnsi="Times New Roman" w:cs="Times New Roman"/>
          <w:color w:val="231F20"/>
          <w:sz w:val="24"/>
          <w:szCs w:val="24"/>
          <w:lang w:val="en-US"/>
        </w:rPr>
        <w:t>the form</w:t>
      </w:r>
      <w:r>
        <w:rPr>
          <w:rFonts w:ascii="Times New Roman" w:hAnsi="Times New Roman" w:cs="Times New Roman"/>
          <w:color w:val="231F20"/>
          <w:sz w:val="24"/>
          <w:szCs w:val="24"/>
          <w:lang w:val="en-US"/>
        </w:rPr>
        <w:t xml:space="preserve"> and</w:t>
      </w:r>
      <w:r w:rsidRPr="0098583E">
        <w:rPr>
          <w:rFonts w:ascii="Times New Roman" w:hAnsi="Times New Roman" w:cs="Times New Roman"/>
          <w:color w:val="231F20"/>
          <w:sz w:val="24"/>
          <w:szCs w:val="24"/>
          <w:lang w:val="en-US"/>
        </w:rPr>
        <w:t xml:space="preserve"> style</w:t>
      </w:r>
      <w:r>
        <w:rPr>
          <w:rFonts w:ascii="Times New Roman" w:hAnsi="Times New Roman" w:cs="Times New Roman"/>
          <w:color w:val="231F20"/>
          <w:sz w:val="24"/>
          <w:szCs w:val="24"/>
          <w:lang w:val="en-US"/>
        </w:rPr>
        <w:t xml:space="preserve"> of the language</w:t>
      </w:r>
      <w:r w:rsidRPr="0098583E">
        <w:rPr>
          <w:rFonts w:ascii="Times New Roman" w:hAnsi="Times New Roman" w:cs="Times New Roman"/>
          <w:color w:val="231F20"/>
          <w:sz w:val="24"/>
          <w:szCs w:val="24"/>
          <w:lang w:val="en-US"/>
        </w:rPr>
        <w:t xml:space="preserve">, </w:t>
      </w:r>
      <w:r>
        <w:rPr>
          <w:rFonts w:ascii="Times New Roman" w:hAnsi="Times New Roman" w:cs="Times New Roman"/>
          <w:color w:val="231F20"/>
          <w:sz w:val="24"/>
          <w:szCs w:val="24"/>
          <w:lang w:val="en-US"/>
        </w:rPr>
        <w:t>the presence of explicit</w:t>
      </w:r>
      <w:r w:rsidRPr="0098583E">
        <w:rPr>
          <w:rFonts w:ascii="Times New Roman" w:hAnsi="Times New Roman" w:cs="Times New Roman"/>
          <w:color w:val="231F20"/>
          <w:sz w:val="24"/>
          <w:szCs w:val="24"/>
          <w:lang w:val="en-US"/>
        </w:rPr>
        <w:t xml:space="preserve"> calls for violence</w:t>
      </w:r>
      <w:r>
        <w:rPr>
          <w:rFonts w:ascii="Times New Roman" w:hAnsi="Times New Roman" w:cs="Times New Roman"/>
          <w:color w:val="231F20"/>
          <w:sz w:val="24"/>
          <w:szCs w:val="24"/>
          <w:lang w:val="en-US"/>
        </w:rPr>
        <w:t xml:space="preserve"> or discrimination, etc. This level of analysis includes the following questions: </w:t>
      </w:r>
      <w:r w:rsidRPr="0098583E">
        <w:rPr>
          <w:rFonts w:ascii="Times New Roman" w:hAnsi="Times New Roman" w:cs="Times New Roman"/>
          <w:color w:val="231F20"/>
          <w:sz w:val="24"/>
          <w:szCs w:val="24"/>
          <w:lang w:val="en-US"/>
        </w:rPr>
        <w:t xml:space="preserve"> </w:t>
      </w:r>
    </w:p>
    <w:p w:rsidR="009962E3" w:rsidRDefault="009962E3" w:rsidP="00620899">
      <w:pPr>
        <w:pStyle w:val="ListParagraph"/>
        <w:numPr>
          <w:ilvl w:val="0"/>
          <w:numId w:val="37"/>
        </w:numPr>
        <w:autoSpaceDE w:val="0"/>
        <w:autoSpaceDN w:val="0"/>
        <w:adjustRightInd w:val="0"/>
        <w:spacing w:before="100" w:beforeAutospacing="1"/>
        <w:jc w:val="both"/>
        <w:rPr>
          <w:rFonts w:ascii="Times New Roman" w:hAnsi="Times New Roman"/>
          <w:color w:val="231F20"/>
          <w:sz w:val="24"/>
          <w:szCs w:val="24"/>
        </w:rPr>
      </w:pPr>
      <w:r w:rsidRPr="0098583E">
        <w:rPr>
          <w:rFonts w:ascii="Times New Roman" w:hAnsi="Times New Roman"/>
          <w:bCs/>
          <w:sz w:val="24"/>
          <w:szCs w:val="24"/>
        </w:rPr>
        <w:t>What did the individual say? D</w:t>
      </w:r>
      <w:r>
        <w:rPr>
          <w:rFonts w:ascii="Times New Roman" w:hAnsi="Times New Roman"/>
          <w:bCs/>
          <w:sz w:val="24"/>
          <w:szCs w:val="24"/>
        </w:rPr>
        <w:t>id</w:t>
      </w:r>
      <w:r w:rsidRPr="0098583E">
        <w:rPr>
          <w:rFonts w:ascii="Times New Roman" w:hAnsi="Times New Roman"/>
          <w:bCs/>
          <w:sz w:val="24"/>
          <w:szCs w:val="24"/>
        </w:rPr>
        <w:t xml:space="preserve"> the sentence involve direct encouragement of the audience to act in certain direction? </w:t>
      </w:r>
      <w:r>
        <w:rPr>
          <w:rFonts w:ascii="Times New Roman" w:hAnsi="Times New Roman"/>
          <w:bCs/>
          <w:sz w:val="24"/>
          <w:szCs w:val="24"/>
        </w:rPr>
        <w:t>Did</w:t>
      </w:r>
      <w:r w:rsidRPr="0098583E">
        <w:rPr>
          <w:rFonts w:ascii="Times New Roman" w:hAnsi="Times New Roman"/>
          <w:bCs/>
          <w:sz w:val="24"/>
          <w:szCs w:val="24"/>
        </w:rPr>
        <w:t xml:space="preserve"> the message </w:t>
      </w:r>
      <w:r w:rsidRPr="0098583E">
        <w:rPr>
          <w:rFonts w:ascii="Times New Roman" w:hAnsi="Times New Roman"/>
          <w:color w:val="231F20"/>
          <w:sz w:val="24"/>
          <w:szCs w:val="24"/>
        </w:rPr>
        <w:t>unambiguously call for violence, hostility or discrimination</w:t>
      </w:r>
      <w:r>
        <w:rPr>
          <w:rFonts w:ascii="Times New Roman" w:hAnsi="Times New Roman"/>
          <w:color w:val="231F20"/>
          <w:sz w:val="24"/>
          <w:szCs w:val="24"/>
        </w:rPr>
        <w:t xml:space="preserve"> or it could have been interpreted in another way</w:t>
      </w:r>
      <w:r w:rsidRPr="0098583E">
        <w:rPr>
          <w:rFonts w:ascii="Times New Roman" w:hAnsi="Times New Roman"/>
          <w:color w:val="231F20"/>
          <w:sz w:val="24"/>
          <w:szCs w:val="24"/>
        </w:rPr>
        <w:t xml:space="preserve">?  </w:t>
      </w:r>
    </w:p>
    <w:p w:rsidR="009962E3" w:rsidRPr="003A08D3" w:rsidRDefault="009962E3" w:rsidP="00620899">
      <w:pPr>
        <w:pStyle w:val="ListParagraph"/>
        <w:numPr>
          <w:ilvl w:val="0"/>
          <w:numId w:val="37"/>
        </w:numPr>
        <w:autoSpaceDE w:val="0"/>
        <w:autoSpaceDN w:val="0"/>
        <w:adjustRightInd w:val="0"/>
        <w:spacing w:after="0" w:afterAutospacing="1"/>
        <w:jc w:val="both"/>
        <w:rPr>
          <w:rFonts w:ascii="Times New Roman" w:hAnsi="Times New Roman"/>
          <w:color w:val="231F20"/>
          <w:sz w:val="24"/>
          <w:szCs w:val="24"/>
        </w:rPr>
      </w:pPr>
      <w:r w:rsidRPr="0098583E">
        <w:rPr>
          <w:rFonts w:ascii="Times New Roman" w:hAnsi="Times New Roman"/>
          <w:bCs/>
          <w:sz w:val="24"/>
          <w:szCs w:val="24"/>
        </w:rPr>
        <w:t>Who was targeted</w:t>
      </w:r>
      <w:r>
        <w:rPr>
          <w:rFonts w:ascii="Times New Roman" w:hAnsi="Times New Roman"/>
          <w:bCs/>
          <w:sz w:val="24"/>
          <w:szCs w:val="24"/>
        </w:rPr>
        <w:t>?</w:t>
      </w:r>
      <w:r w:rsidRPr="0098583E">
        <w:rPr>
          <w:rFonts w:ascii="Times New Roman" w:hAnsi="Times New Roman"/>
          <w:bCs/>
          <w:sz w:val="24"/>
          <w:szCs w:val="24"/>
        </w:rPr>
        <w:t xml:space="preserve"> </w:t>
      </w:r>
      <w:r>
        <w:rPr>
          <w:rFonts w:ascii="Times New Roman" w:hAnsi="Times New Roman"/>
          <w:bCs/>
          <w:sz w:val="24"/>
          <w:szCs w:val="24"/>
        </w:rPr>
        <w:t>Was it</w:t>
      </w:r>
      <w:r w:rsidRPr="0098583E">
        <w:rPr>
          <w:rFonts w:ascii="Times New Roman" w:hAnsi="Times New Roman"/>
          <w:bCs/>
          <w:sz w:val="24"/>
          <w:szCs w:val="24"/>
        </w:rPr>
        <w:t xml:space="preserve"> the </w:t>
      </w:r>
      <w:r>
        <w:rPr>
          <w:rFonts w:ascii="Times New Roman" w:hAnsi="Times New Roman"/>
          <w:bCs/>
          <w:sz w:val="24"/>
          <w:szCs w:val="24"/>
        </w:rPr>
        <w:t>groups</w:t>
      </w:r>
      <w:r w:rsidRPr="0098583E">
        <w:rPr>
          <w:rFonts w:ascii="Times New Roman" w:hAnsi="Times New Roman"/>
          <w:bCs/>
          <w:sz w:val="24"/>
          <w:szCs w:val="24"/>
        </w:rPr>
        <w:t xml:space="preserve"> </w:t>
      </w:r>
      <w:r>
        <w:rPr>
          <w:rFonts w:ascii="Times New Roman" w:hAnsi="Times New Roman"/>
          <w:bCs/>
          <w:sz w:val="24"/>
          <w:szCs w:val="24"/>
        </w:rPr>
        <w:t>whom</w:t>
      </w:r>
      <w:r w:rsidRPr="0098583E">
        <w:rPr>
          <w:rFonts w:ascii="Times New Roman" w:hAnsi="Times New Roman"/>
          <w:bCs/>
          <w:sz w:val="24"/>
          <w:szCs w:val="24"/>
        </w:rPr>
        <w:t xml:space="preserve"> the speech was intend</w:t>
      </w:r>
      <w:r>
        <w:rPr>
          <w:rFonts w:ascii="Times New Roman" w:hAnsi="Times New Roman"/>
          <w:bCs/>
          <w:sz w:val="24"/>
          <w:szCs w:val="24"/>
        </w:rPr>
        <w:t>ed</w:t>
      </w:r>
      <w:r w:rsidRPr="0098583E">
        <w:rPr>
          <w:rFonts w:ascii="Times New Roman" w:hAnsi="Times New Roman"/>
          <w:bCs/>
          <w:sz w:val="24"/>
          <w:szCs w:val="24"/>
        </w:rPr>
        <w:t xml:space="preserve"> to incite?</w:t>
      </w:r>
      <w:r>
        <w:rPr>
          <w:rFonts w:ascii="Times New Roman" w:hAnsi="Times New Roman"/>
          <w:bCs/>
          <w:sz w:val="24"/>
          <w:szCs w:val="24"/>
        </w:rPr>
        <w:t xml:space="preserve"> Did the message contain specific linguistic references common to the groups that were being incited? </w:t>
      </w:r>
    </w:p>
    <w:p w:rsidR="009962E3" w:rsidRPr="00082DB4" w:rsidRDefault="009962E3" w:rsidP="00620899">
      <w:pPr>
        <w:pStyle w:val="ListParagraph"/>
        <w:numPr>
          <w:ilvl w:val="0"/>
          <w:numId w:val="37"/>
        </w:numPr>
        <w:autoSpaceDE w:val="0"/>
        <w:autoSpaceDN w:val="0"/>
        <w:adjustRightInd w:val="0"/>
        <w:spacing w:before="240" w:after="0" w:afterAutospacing="1"/>
        <w:jc w:val="both"/>
        <w:rPr>
          <w:rFonts w:ascii="Times New Roman" w:hAnsi="Times New Roman"/>
          <w:sz w:val="24"/>
          <w:szCs w:val="24"/>
        </w:rPr>
      </w:pPr>
      <w:r w:rsidRPr="00FF0C86">
        <w:rPr>
          <w:rFonts w:ascii="Times New Roman" w:hAnsi="Times New Roman"/>
          <w:bCs/>
          <w:sz w:val="24"/>
          <w:szCs w:val="24"/>
        </w:rPr>
        <w:t>Who was targeted</w:t>
      </w:r>
      <w:r>
        <w:rPr>
          <w:rFonts w:ascii="Times New Roman" w:hAnsi="Times New Roman"/>
          <w:bCs/>
          <w:sz w:val="24"/>
          <w:szCs w:val="24"/>
        </w:rPr>
        <w:t>? Was it</w:t>
      </w:r>
      <w:r w:rsidRPr="00FF0C86">
        <w:rPr>
          <w:rFonts w:ascii="Times New Roman" w:hAnsi="Times New Roman"/>
          <w:bCs/>
          <w:sz w:val="24"/>
          <w:szCs w:val="24"/>
        </w:rPr>
        <w:t xml:space="preserve"> the potential victims of discrimination, violence or hostility? </w:t>
      </w:r>
      <w:r>
        <w:rPr>
          <w:rFonts w:ascii="Times New Roman" w:hAnsi="Times New Roman"/>
          <w:bCs/>
          <w:sz w:val="24"/>
          <w:szCs w:val="24"/>
        </w:rPr>
        <w:t>Did</w:t>
      </w:r>
      <w:r w:rsidRPr="00FF0C86">
        <w:rPr>
          <w:rFonts w:ascii="Times New Roman" w:hAnsi="Times New Roman"/>
          <w:bCs/>
          <w:sz w:val="24"/>
          <w:szCs w:val="24"/>
        </w:rPr>
        <w:t xml:space="preserve"> the language used contain specific negative references </w:t>
      </w:r>
      <w:r>
        <w:rPr>
          <w:rFonts w:ascii="Times New Roman" w:hAnsi="Times New Roman"/>
          <w:bCs/>
          <w:sz w:val="24"/>
          <w:szCs w:val="24"/>
        </w:rPr>
        <w:t>to</w:t>
      </w:r>
      <w:r w:rsidRPr="00FF0C86">
        <w:rPr>
          <w:rFonts w:ascii="Times New Roman" w:hAnsi="Times New Roman"/>
          <w:bCs/>
          <w:sz w:val="24"/>
          <w:szCs w:val="24"/>
        </w:rPr>
        <w:t xml:space="preserve"> the ‘Other’ group</w:t>
      </w:r>
      <w:r>
        <w:rPr>
          <w:rFonts w:ascii="Times New Roman" w:hAnsi="Times New Roman"/>
          <w:bCs/>
          <w:sz w:val="24"/>
          <w:szCs w:val="24"/>
        </w:rPr>
        <w:t xml:space="preserve"> </w:t>
      </w:r>
      <w:r w:rsidRPr="00FF0C86">
        <w:rPr>
          <w:rFonts w:ascii="Times New Roman" w:hAnsi="Times New Roman"/>
          <w:bCs/>
          <w:sz w:val="24"/>
          <w:szCs w:val="24"/>
        </w:rPr>
        <w:t>(</w:t>
      </w:r>
      <w:r>
        <w:rPr>
          <w:rFonts w:ascii="Times New Roman" w:hAnsi="Times New Roman"/>
          <w:bCs/>
          <w:sz w:val="24"/>
          <w:szCs w:val="24"/>
        </w:rPr>
        <w:t xml:space="preserve">of </w:t>
      </w:r>
      <w:r w:rsidRPr="00FF0C86">
        <w:rPr>
          <w:rFonts w:ascii="Times New Roman" w:hAnsi="Times New Roman"/>
          <w:bCs/>
          <w:sz w:val="24"/>
          <w:szCs w:val="24"/>
        </w:rPr>
        <w:t>victim</w:t>
      </w:r>
      <w:r>
        <w:rPr>
          <w:rFonts w:ascii="Times New Roman" w:hAnsi="Times New Roman"/>
          <w:bCs/>
          <w:sz w:val="24"/>
          <w:szCs w:val="24"/>
        </w:rPr>
        <w:t>s</w:t>
      </w:r>
      <w:r w:rsidRPr="00FF0C86">
        <w:rPr>
          <w:rFonts w:ascii="Times New Roman" w:hAnsi="Times New Roman"/>
          <w:bCs/>
          <w:sz w:val="24"/>
          <w:szCs w:val="24"/>
        </w:rPr>
        <w:t xml:space="preserve">)? </w:t>
      </w:r>
      <w:r>
        <w:rPr>
          <w:rFonts w:ascii="Times New Roman" w:hAnsi="Times New Roman"/>
          <w:color w:val="231F20"/>
          <w:sz w:val="24"/>
          <w:szCs w:val="24"/>
        </w:rPr>
        <w:t>Wa</w:t>
      </w:r>
      <w:r w:rsidRPr="00FF0C86">
        <w:rPr>
          <w:rFonts w:ascii="Times New Roman" w:hAnsi="Times New Roman"/>
          <w:color w:val="231F20"/>
          <w:sz w:val="24"/>
          <w:szCs w:val="24"/>
        </w:rPr>
        <w:t xml:space="preserve">s this group </w:t>
      </w:r>
      <w:r>
        <w:rPr>
          <w:rFonts w:ascii="Times New Roman" w:hAnsi="Times New Roman"/>
          <w:color w:val="231F20"/>
          <w:sz w:val="24"/>
          <w:szCs w:val="24"/>
        </w:rPr>
        <w:t>directly or indirectly named?</w:t>
      </w:r>
    </w:p>
    <w:p w:rsidR="009962E3" w:rsidRPr="008A108C" w:rsidRDefault="009962E3" w:rsidP="00620899">
      <w:pPr>
        <w:pStyle w:val="ListParagraph"/>
        <w:numPr>
          <w:ilvl w:val="0"/>
          <w:numId w:val="37"/>
        </w:numPr>
        <w:autoSpaceDE w:val="0"/>
        <w:autoSpaceDN w:val="0"/>
        <w:adjustRightInd w:val="0"/>
        <w:spacing w:before="240" w:after="0" w:afterAutospacing="1"/>
        <w:jc w:val="both"/>
        <w:rPr>
          <w:rFonts w:ascii="Times New Roman" w:hAnsi="Times New Roman"/>
          <w:sz w:val="24"/>
          <w:szCs w:val="24"/>
        </w:rPr>
      </w:pPr>
      <w:r w:rsidRPr="00082DB4">
        <w:rPr>
          <w:rFonts w:ascii="Times New Roman" w:hAnsi="Times New Roman"/>
          <w:bCs/>
          <w:sz w:val="24"/>
          <w:szCs w:val="24"/>
        </w:rPr>
        <w:t xml:space="preserve">How was </w:t>
      </w:r>
      <w:r>
        <w:rPr>
          <w:rFonts w:ascii="Times New Roman" w:hAnsi="Times New Roman"/>
          <w:bCs/>
          <w:sz w:val="24"/>
          <w:szCs w:val="24"/>
        </w:rPr>
        <w:t xml:space="preserve">it </w:t>
      </w:r>
      <w:r w:rsidRPr="00082DB4">
        <w:rPr>
          <w:rFonts w:ascii="Times New Roman" w:hAnsi="Times New Roman"/>
          <w:bCs/>
          <w:sz w:val="24"/>
          <w:szCs w:val="24"/>
        </w:rPr>
        <w:t>said</w:t>
      </w:r>
      <w:r>
        <w:rPr>
          <w:rFonts w:ascii="Times New Roman" w:hAnsi="Times New Roman"/>
          <w:bCs/>
          <w:sz w:val="24"/>
          <w:szCs w:val="24"/>
        </w:rPr>
        <w:t>, i.e what was the</w:t>
      </w:r>
      <w:r w:rsidRPr="00082DB4">
        <w:rPr>
          <w:rFonts w:ascii="Times New Roman" w:hAnsi="Times New Roman"/>
          <w:bCs/>
          <w:sz w:val="24"/>
          <w:szCs w:val="24"/>
        </w:rPr>
        <w:t xml:space="preserve"> tone? To what degree </w:t>
      </w:r>
      <w:r>
        <w:rPr>
          <w:rFonts w:ascii="Times New Roman" w:hAnsi="Times New Roman"/>
          <w:bCs/>
          <w:sz w:val="24"/>
          <w:szCs w:val="24"/>
        </w:rPr>
        <w:t xml:space="preserve">was </w:t>
      </w:r>
      <w:r w:rsidRPr="00082DB4">
        <w:rPr>
          <w:rFonts w:ascii="Times New Roman" w:hAnsi="Times New Roman"/>
          <w:bCs/>
          <w:sz w:val="24"/>
          <w:szCs w:val="24"/>
        </w:rPr>
        <w:t xml:space="preserve">the speech </w:t>
      </w:r>
      <w:r w:rsidRPr="00082DB4">
        <w:rPr>
          <w:rFonts w:ascii="Times New Roman" w:hAnsi="Times New Roman"/>
          <w:color w:val="231F20"/>
          <w:sz w:val="24"/>
          <w:szCs w:val="24"/>
        </w:rPr>
        <w:t>provocative and direct? D</w:t>
      </w:r>
      <w:r>
        <w:rPr>
          <w:rFonts w:ascii="Times New Roman" w:hAnsi="Times New Roman"/>
          <w:color w:val="231F20"/>
          <w:sz w:val="24"/>
          <w:szCs w:val="24"/>
        </w:rPr>
        <w:t>id</w:t>
      </w:r>
      <w:r w:rsidRPr="00082DB4">
        <w:rPr>
          <w:rFonts w:ascii="Times New Roman" w:hAnsi="Times New Roman"/>
          <w:color w:val="231F20"/>
          <w:sz w:val="24"/>
          <w:szCs w:val="24"/>
        </w:rPr>
        <w:t xml:space="preserve"> it include mitigating references? </w:t>
      </w:r>
      <w:r>
        <w:rPr>
          <w:rFonts w:ascii="Times New Roman" w:hAnsi="Times New Roman"/>
          <w:color w:val="231F20"/>
          <w:sz w:val="24"/>
          <w:szCs w:val="24"/>
        </w:rPr>
        <w:t>Did</w:t>
      </w:r>
      <w:r w:rsidRPr="00082DB4">
        <w:rPr>
          <w:rFonts w:ascii="Times New Roman" w:hAnsi="Times New Roman"/>
          <w:color w:val="231F20"/>
          <w:sz w:val="24"/>
          <w:szCs w:val="24"/>
        </w:rPr>
        <w:t xml:space="preserve"> the expression contain </w:t>
      </w:r>
      <w:r>
        <w:rPr>
          <w:rFonts w:ascii="Times New Roman" w:hAnsi="Times New Roman"/>
          <w:color w:val="231F20"/>
          <w:sz w:val="24"/>
          <w:szCs w:val="24"/>
        </w:rPr>
        <w:t xml:space="preserve">emotional </w:t>
      </w:r>
      <w:r w:rsidRPr="00082DB4">
        <w:rPr>
          <w:rFonts w:ascii="Times New Roman" w:hAnsi="Times New Roman"/>
          <w:color w:val="231F20"/>
          <w:sz w:val="24"/>
          <w:szCs w:val="24"/>
        </w:rPr>
        <w:t xml:space="preserve">references that can stimulate </w:t>
      </w:r>
      <w:r>
        <w:rPr>
          <w:rFonts w:ascii="Times New Roman" w:hAnsi="Times New Roman"/>
          <w:color w:val="231F20"/>
          <w:sz w:val="24"/>
          <w:szCs w:val="24"/>
        </w:rPr>
        <w:t xml:space="preserve">illegal </w:t>
      </w:r>
      <w:r w:rsidRPr="00082DB4">
        <w:rPr>
          <w:rFonts w:ascii="Times New Roman" w:hAnsi="Times New Roman"/>
          <w:color w:val="231F20"/>
          <w:sz w:val="24"/>
          <w:szCs w:val="24"/>
        </w:rPr>
        <w:t xml:space="preserve">reactions </w:t>
      </w:r>
      <w:r>
        <w:rPr>
          <w:rFonts w:ascii="Times New Roman" w:hAnsi="Times New Roman"/>
          <w:color w:val="231F20"/>
          <w:sz w:val="24"/>
          <w:szCs w:val="24"/>
        </w:rPr>
        <w:t>by</w:t>
      </w:r>
      <w:r w:rsidRPr="00082DB4">
        <w:rPr>
          <w:rFonts w:ascii="Times New Roman" w:hAnsi="Times New Roman"/>
          <w:color w:val="231F20"/>
          <w:sz w:val="24"/>
          <w:szCs w:val="24"/>
        </w:rPr>
        <w:t xml:space="preserve"> the audience?  </w:t>
      </w:r>
    </w:p>
    <w:p w:rsidR="009962E3" w:rsidRDefault="009962E3" w:rsidP="00620899">
      <w:pPr>
        <w:pStyle w:val="ListParagraph"/>
        <w:numPr>
          <w:ilvl w:val="0"/>
          <w:numId w:val="37"/>
        </w:numPr>
        <w:autoSpaceDE w:val="0"/>
        <w:autoSpaceDN w:val="0"/>
        <w:adjustRightInd w:val="0"/>
        <w:spacing w:before="240"/>
        <w:jc w:val="both"/>
        <w:rPr>
          <w:rFonts w:ascii="Times New Roman" w:hAnsi="Times New Roman"/>
          <w:bCs/>
          <w:sz w:val="24"/>
          <w:szCs w:val="24"/>
        </w:rPr>
      </w:pPr>
      <w:r w:rsidRPr="00F82AC0">
        <w:rPr>
          <w:rFonts w:ascii="Times New Roman" w:hAnsi="Times New Roman"/>
          <w:bCs/>
          <w:sz w:val="24"/>
          <w:szCs w:val="24"/>
        </w:rPr>
        <w:t xml:space="preserve">What </w:t>
      </w:r>
      <w:r>
        <w:rPr>
          <w:rFonts w:ascii="Times New Roman" w:hAnsi="Times New Roman"/>
          <w:bCs/>
          <w:sz w:val="24"/>
          <w:szCs w:val="24"/>
        </w:rPr>
        <w:t>wa</w:t>
      </w:r>
      <w:r w:rsidRPr="00F82AC0">
        <w:rPr>
          <w:rFonts w:ascii="Times New Roman" w:hAnsi="Times New Roman"/>
          <w:bCs/>
          <w:sz w:val="24"/>
          <w:szCs w:val="24"/>
        </w:rPr>
        <w:t xml:space="preserve">s the form of expression, taking into account that </w:t>
      </w:r>
      <w:r w:rsidRPr="00F82AC0">
        <w:rPr>
          <w:rFonts w:ascii="Times New Roman" w:hAnsi="Times New Roman"/>
          <w:color w:val="231F20"/>
          <w:sz w:val="24"/>
          <w:szCs w:val="24"/>
        </w:rPr>
        <w:t>certain forms of expression are subject to greater protection under Article 10 (</w:t>
      </w:r>
      <w:r>
        <w:rPr>
          <w:rFonts w:ascii="Times New Roman" w:hAnsi="Times New Roman"/>
          <w:color w:val="231F20"/>
          <w:sz w:val="24"/>
          <w:szCs w:val="24"/>
        </w:rPr>
        <w:t>a</w:t>
      </w:r>
      <w:r w:rsidRPr="00F82AC0">
        <w:rPr>
          <w:rFonts w:ascii="Times New Roman" w:hAnsi="Times New Roman"/>
          <w:bCs/>
          <w:sz w:val="24"/>
          <w:szCs w:val="24"/>
        </w:rPr>
        <w:t xml:space="preserve">rtistic expression, </w:t>
      </w:r>
      <w:r>
        <w:rPr>
          <w:rFonts w:ascii="Times New Roman" w:hAnsi="Times New Roman"/>
          <w:bCs/>
          <w:sz w:val="24"/>
          <w:szCs w:val="24"/>
        </w:rPr>
        <w:t>p</w:t>
      </w:r>
      <w:r w:rsidRPr="00F82AC0">
        <w:rPr>
          <w:rFonts w:ascii="Times New Roman" w:hAnsi="Times New Roman"/>
          <w:bCs/>
          <w:sz w:val="24"/>
          <w:szCs w:val="24"/>
        </w:rPr>
        <w:t xml:space="preserve">olitical speech, </w:t>
      </w:r>
      <w:r>
        <w:rPr>
          <w:rFonts w:ascii="Times New Roman" w:hAnsi="Times New Roman"/>
          <w:bCs/>
          <w:sz w:val="24"/>
          <w:szCs w:val="24"/>
        </w:rPr>
        <w:t>r</w:t>
      </w:r>
      <w:r w:rsidRPr="00F82AC0">
        <w:rPr>
          <w:rFonts w:ascii="Times New Roman" w:hAnsi="Times New Roman"/>
          <w:bCs/>
          <w:sz w:val="24"/>
          <w:szCs w:val="24"/>
        </w:rPr>
        <w:t xml:space="preserve">eligious speech, </w:t>
      </w:r>
      <w:r>
        <w:rPr>
          <w:rFonts w:ascii="Times New Roman" w:hAnsi="Times New Roman"/>
          <w:bCs/>
          <w:sz w:val="24"/>
          <w:szCs w:val="24"/>
        </w:rPr>
        <w:t>a</w:t>
      </w:r>
      <w:r w:rsidRPr="00F82AC0">
        <w:rPr>
          <w:rFonts w:ascii="Times New Roman" w:hAnsi="Times New Roman"/>
          <w:bCs/>
          <w:sz w:val="24"/>
          <w:szCs w:val="24"/>
        </w:rPr>
        <w:t xml:space="preserve">cademic research)? </w:t>
      </w:r>
      <w:r>
        <w:rPr>
          <w:rFonts w:ascii="Times New Roman" w:hAnsi="Times New Roman"/>
          <w:bCs/>
          <w:sz w:val="24"/>
          <w:szCs w:val="24"/>
        </w:rPr>
        <w:t>Did</w:t>
      </w:r>
      <w:r w:rsidRPr="00F82AC0">
        <w:rPr>
          <w:rFonts w:ascii="Times New Roman" w:hAnsi="Times New Roman"/>
          <w:bCs/>
          <w:sz w:val="24"/>
          <w:szCs w:val="24"/>
        </w:rPr>
        <w:t xml:space="preserve"> the journalist </w:t>
      </w:r>
      <w:r>
        <w:rPr>
          <w:rFonts w:ascii="Times New Roman" w:hAnsi="Times New Roman"/>
          <w:bCs/>
          <w:sz w:val="24"/>
          <w:szCs w:val="24"/>
        </w:rPr>
        <w:t>intend</w:t>
      </w:r>
      <w:r w:rsidRPr="00F82AC0">
        <w:rPr>
          <w:rFonts w:ascii="Times New Roman" w:hAnsi="Times New Roman"/>
          <w:bCs/>
          <w:sz w:val="24"/>
          <w:szCs w:val="24"/>
        </w:rPr>
        <w:t xml:space="preserve">  </w:t>
      </w:r>
      <w:r>
        <w:rPr>
          <w:rFonts w:ascii="Times New Roman" w:hAnsi="Times New Roman"/>
          <w:bCs/>
          <w:sz w:val="24"/>
          <w:szCs w:val="24"/>
        </w:rPr>
        <w:t xml:space="preserve">to </w:t>
      </w:r>
      <w:r w:rsidRPr="00F82AC0">
        <w:rPr>
          <w:rFonts w:ascii="Times New Roman" w:hAnsi="Times New Roman"/>
          <w:bCs/>
          <w:sz w:val="24"/>
          <w:szCs w:val="24"/>
        </w:rPr>
        <w:t xml:space="preserve">present “hate speech” as a phenomenon? </w:t>
      </w:r>
      <w:r>
        <w:rPr>
          <w:rFonts w:ascii="Times New Roman" w:hAnsi="Times New Roman"/>
          <w:bCs/>
          <w:sz w:val="24"/>
          <w:szCs w:val="24"/>
        </w:rPr>
        <w:tab/>
      </w:r>
      <w:r>
        <w:rPr>
          <w:rFonts w:ascii="Times New Roman" w:hAnsi="Times New Roman"/>
          <w:bCs/>
          <w:sz w:val="24"/>
          <w:szCs w:val="24"/>
        </w:rPr>
        <w:br/>
      </w:r>
    </w:p>
    <w:p w:rsidR="009962E3" w:rsidRPr="00F82AC0" w:rsidRDefault="009962E3" w:rsidP="00F82AC0">
      <w:pPr>
        <w:spacing w:after="100" w:afterAutospacing="1"/>
        <w:ind w:left="360"/>
        <w:jc w:val="both"/>
        <w:rPr>
          <w:rFonts w:ascii="Times New Roman" w:hAnsi="Times New Roman"/>
          <w:b/>
          <w:bCs/>
          <w:sz w:val="24"/>
          <w:szCs w:val="24"/>
        </w:rPr>
      </w:pPr>
      <w:r w:rsidRPr="00F82AC0">
        <w:rPr>
          <w:rFonts w:ascii="Times New Roman" w:hAnsi="Times New Roman"/>
          <w:b/>
          <w:bCs/>
          <w:sz w:val="24"/>
          <w:szCs w:val="24"/>
        </w:rPr>
        <w:t>7.5 What were the extent and the magnitude of the expression?</w:t>
      </w:r>
    </w:p>
    <w:p w:rsidR="009962E3" w:rsidRDefault="009962E3" w:rsidP="00400C3D">
      <w:pPr>
        <w:autoSpaceDE w:val="0"/>
        <w:autoSpaceDN w:val="0"/>
        <w:adjustRightInd w:val="0"/>
        <w:spacing w:after="0"/>
        <w:jc w:val="both"/>
        <w:rPr>
          <w:rFonts w:ascii="Times New Roman" w:hAnsi="Times New Roman" w:cs="Times New Roman"/>
          <w:color w:val="231F20"/>
          <w:sz w:val="24"/>
          <w:szCs w:val="24"/>
          <w:lang w:val="en-US"/>
        </w:rPr>
      </w:pPr>
      <w:r w:rsidRPr="00083E7B">
        <w:rPr>
          <w:rFonts w:ascii="Times New Roman" w:hAnsi="Times New Roman" w:cs="Times New Roman"/>
          <w:color w:val="231F20"/>
          <w:sz w:val="24"/>
          <w:szCs w:val="24"/>
          <w:lang w:val="en-US"/>
        </w:rPr>
        <w:t xml:space="preserve">The next important issue to be examined is the public nature of the expression, the means of </w:t>
      </w:r>
      <w:r>
        <w:rPr>
          <w:rFonts w:ascii="Times New Roman" w:hAnsi="Times New Roman" w:cs="Times New Roman"/>
          <w:color w:val="231F20"/>
          <w:sz w:val="24"/>
          <w:szCs w:val="24"/>
          <w:lang w:val="en-US"/>
        </w:rPr>
        <w:t xml:space="preserve">its </w:t>
      </w:r>
      <w:r w:rsidRPr="00083E7B">
        <w:rPr>
          <w:rFonts w:ascii="Times New Roman" w:hAnsi="Times New Roman" w:cs="Times New Roman"/>
          <w:color w:val="231F20"/>
          <w:sz w:val="24"/>
          <w:szCs w:val="24"/>
          <w:lang w:val="en-US"/>
        </w:rPr>
        <w:t xml:space="preserve">dissemination and </w:t>
      </w:r>
      <w:r>
        <w:rPr>
          <w:rFonts w:ascii="Times New Roman" w:hAnsi="Times New Roman" w:cs="Times New Roman"/>
          <w:color w:val="231F20"/>
          <w:sz w:val="24"/>
          <w:szCs w:val="24"/>
          <w:lang w:val="en-US"/>
        </w:rPr>
        <w:t xml:space="preserve">its </w:t>
      </w:r>
      <w:r w:rsidRPr="00083E7B">
        <w:rPr>
          <w:rFonts w:ascii="Times New Roman" w:hAnsi="Times New Roman" w:cs="Times New Roman"/>
          <w:color w:val="231F20"/>
          <w:sz w:val="24"/>
          <w:szCs w:val="24"/>
          <w:lang w:val="en-US"/>
        </w:rPr>
        <w:t>magnitude.</w:t>
      </w:r>
      <w:r>
        <w:rPr>
          <w:rFonts w:ascii="Times New Roman" w:hAnsi="Times New Roman" w:cs="Times New Roman"/>
          <w:color w:val="231F20"/>
          <w:sz w:val="24"/>
          <w:szCs w:val="24"/>
          <w:lang w:val="en-US"/>
        </w:rPr>
        <w:t xml:space="preserve"> This level of assessment involves the following questions:</w:t>
      </w:r>
    </w:p>
    <w:p w:rsidR="009962E3" w:rsidRDefault="009962E3" w:rsidP="00400C3D">
      <w:pPr>
        <w:autoSpaceDE w:val="0"/>
        <w:autoSpaceDN w:val="0"/>
        <w:adjustRightInd w:val="0"/>
        <w:spacing w:after="0"/>
        <w:jc w:val="both"/>
        <w:rPr>
          <w:rFonts w:ascii="Times New Roman" w:hAnsi="Times New Roman" w:cs="Times New Roman"/>
          <w:color w:val="231F20"/>
          <w:sz w:val="24"/>
          <w:szCs w:val="24"/>
          <w:lang w:val="en-US"/>
        </w:rPr>
      </w:pPr>
    </w:p>
    <w:p w:rsidR="009962E3" w:rsidRPr="00400C3D" w:rsidRDefault="009962E3" w:rsidP="000E5A56">
      <w:pPr>
        <w:pStyle w:val="ListParagraph"/>
        <w:numPr>
          <w:ilvl w:val="0"/>
          <w:numId w:val="37"/>
        </w:numPr>
        <w:autoSpaceDE w:val="0"/>
        <w:autoSpaceDN w:val="0"/>
        <w:adjustRightInd w:val="0"/>
        <w:spacing w:line="240" w:lineRule="auto"/>
        <w:rPr>
          <w:rFonts w:ascii="Times New Roman" w:hAnsi="Times New Roman"/>
          <w:bCs/>
          <w:sz w:val="24"/>
          <w:szCs w:val="24"/>
        </w:rPr>
      </w:pPr>
      <w:r w:rsidRPr="00400C3D">
        <w:rPr>
          <w:rFonts w:ascii="Times New Roman" w:hAnsi="Times New Roman"/>
          <w:color w:val="231F20"/>
          <w:sz w:val="24"/>
          <w:szCs w:val="24"/>
        </w:rPr>
        <w:t>W</w:t>
      </w:r>
      <w:r>
        <w:rPr>
          <w:rFonts w:ascii="Times New Roman" w:hAnsi="Times New Roman"/>
          <w:color w:val="231F20"/>
          <w:sz w:val="24"/>
          <w:szCs w:val="24"/>
        </w:rPr>
        <w:t>as</w:t>
      </w:r>
      <w:r w:rsidRPr="00400C3D">
        <w:rPr>
          <w:rFonts w:ascii="Times New Roman" w:hAnsi="Times New Roman"/>
          <w:color w:val="231F20"/>
          <w:sz w:val="24"/>
          <w:szCs w:val="24"/>
        </w:rPr>
        <w:t xml:space="preserve"> the speech directed to a </w:t>
      </w:r>
      <w:r>
        <w:rPr>
          <w:rFonts w:ascii="Times New Roman" w:hAnsi="Times New Roman"/>
          <w:color w:val="231F20"/>
          <w:sz w:val="24"/>
          <w:szCs w:val="24"/>
        </w:rPr>
        <w:t xml:space="preserve">certain </w:t>
      </w:r>
      <w:r w:rsidRPr="00400C3D">
        <w:rPr>
          <w:rFonts w:ascii="Times New Roman" w:hAnsi="Times New Roman"/>
          <w:color w:val="231F20"/>
          <w:sz w:val="24"/>
          <w:szCs w:val="24"/>
        </w:rPr>
        <w:t>number of individuals or to the members of the general public</w:t>
      </w:r>
      <w:r>
        <w:rPr>
          <w:rFonts w:ascii="Times New Roman" w:hAnsi="Times New Roman"/>
          <w:color w:val="231F20"/>
          <w:sz w:val="24"/>
          <w:szCs w:val="24"/>
        </w:rPr>
        <w:t>?</w:t>
      </w:r>
    </w:p>
    <w:p w:rsidR="009962E3" w:rsidRPr="00AD2485" w:rsidRDefault="009962E3" w:rsidP="000E5A56">
      <w:pPr>
        <w:pStyle w:val="ListParagraph"/>
        <w:numPr>
          <w:ilvl w:val="0"/>
          <w:numId w:val="37"/>
        </w:numPr>
        <w:autoSpaceDE w:val="0"/>
        <w:autoSpaceDN w:val="0"/>
        <w:adjustRightInd w:val="0"/>
        <w:spacing w:line="240" w:lineRule="auto"/>
        <w:jc w:val="both"/>
        <w:rPr>
          <w:rFonts w:ascii="Times New Roman" w:hAnsi="Times New Roman"/>
          <w:bCs/>
          <w:sz w:val="24"/>
          <w:szCs w:val="24"/>
        </w:rPr>
      </w:pPr>
      <w:r w:rsidRPr="00400C3D">
        <w:rPr>
          <w:rFonts w:ascii="Times New Roman" w:hAnsi="Times New Roman"/>
          <w:bCs/>
          <w:sz w:val="24"/>
          <w:szCs w:val="24"/>
        </w:rPr>
        <w:t xml:space="preserve">Was it said </w:t>
      </w:r>
      <w:r>
        <w:rPr>
          <w:rFonts w:ascii="Times New Roman" w:hAnsi="Times New Roman"/>
          <w:bCs/>
          <w:sz w:val="24"/>
          <w:szCs w:val="24"/>
        </w:rPr>
        <w:t>via an</w:t>
      </w:r>
      <w:r w:rsidRPr="00400C3D">
        <w:rPr>
          <w:rFonts w:ascii="Times New Roman" w:hAnsi="Times New Roman"/>
          <w:bCs/>
          <w:sz w:val="24"/>
          <w:szCs w:val="24"/>
        </w:rPr>
        <w:t xml:space="preserve"> electronic medi</w:t>
      </w:r>
      <w:r>
        <w:rPr>
          <w:rFonts w:ascii="Times New Roman" w:hAnsi="Times New Roman"/>
          <w:bCs/>
          <w:sz w:val="24"/>
          <w:szCs w:val="24"/>
        </w:rPr>
        <w:t>um</w:t>
      </w:r>
      <w:r w:rsidRPr="00400C3D">
        <w:rPr>
          <w:rFonts w:ascii="Times New Roman" w:hAnsi="Times New Roman"/>
          <w:bCs/>
          <w:sz w:val="24"/>
          <w:szCs w:val="24"/>
        </w:rPr>
        <w:t xml:space="preserve">? </w:t>
      </w:r>
      <w:r w:rsidRPr="00AD2485">
        <w:rPr>
          <w:rFonts w:ascii="Times New Roman" w:hAnsi="Times New Roman"/>
          <w:bCs/>
          <w:sz w:val="24"/>
          <w:szCs w:val="24"/>
        </w:rPr>
        <w:t xml:space="preserve">Was it said in </w:t>
      </w:r>
      <w:r>
        <w:rPr>
          <w:rFonts w:ascii="Times New Roman" w:hAnsi="Times New Roman"/>
          <w:bCs/>
          <w:sz w:val="24"/>
          <w:szCs w:val="24"/>
        </w:rPr>
        <w:t xml:space="preserve">a </w:t>
      </w:r>
      <w:r w:rsidRPr="00AD2485">
        <w:rPr>
          <w:rFonts w:ascii="Times New Roman" w:hAnsi="Times New Roman"/>
          <w:bCs/>
          <w:sz w:val="24"/>
          <w:szCs w:val="24"/>
        </w:rPr>
        <w:t>live show?</w:t>
      </w:r>
      <w:r>
        <w:rPr>
          <w:rFonts w:ascii="Times New Roman" w:hAnsi="Times New Roman"/>
          <w:bCs/>
          <w:sz w:val="24"/>
          <w:szCs w:val="24"/>
        </w:rPr>
        <w:t xml:space="preserve"> </w:t>
      </w:r>
      <w:r w:rsidRPr="00400C3D">
        <w:rPr>
          <w:rFonts w:ascii="Times New Roman" w:hAnsi="Times New Roman"/>
          <w:color w:val="231F20"/>
          <w:sz w:val="24"/>
          <w:szCs w:val="24"/>
        </w:rPr>
        <w:t xml:space="preserve">When a message is disseminated through audiovisual media the impact is much </w:t>
      </w:r>
      <w:r>
        <w:rPr>
          <w:rFonts w:ascii="Times New Roman" w:hAnsi="Times New Roman"/>
          <w:color w:val="231F20"/>
          <w:sz w:val="24"/>
          <w:szCs w:val="24"/>
        </w:rPr>
        <w:t>m</w:t>
      </w:r>
      <w:r w:rsidRPr="00400C3D">
        <w:rPr>
          <w:rFonts w:ascii="Times New Roman" w:hAnsi="Times New Roman"/>
          <w:color w:val="231F20"/>
          <w:sz w:val="24"/>
          <w:szCs w:val="24"/>
        </w:rPr>
        <w:t>ore immediate and powerful.</w:t>
      </w:r>
      <w:r>
        <w:rPr>
          <w:rFonts w:ascii="Times New Roman" w:hAnsi="Times New Roman"/>
          <w:color w:val="231F20"/>
          <w:sz w:val="24"/>
          <w:szCs w:val="24"/>
        </w:rPr>
        <w:t xml:space="preserve"> </w:t>
      </w:r>
    </w:p>
    <w:p w:rsidR="009962E3" w:rsidRDefault="009962E3" w:rsidP="00AD2485">
      <w:pPr>
        <w:pStyle w:val="ListParagraph"/>
        <w:numPr>
          <w:ilvl w:val="0"/>
          <w:numId w:val="37"/>
        </w:numPr>
        <w:autoSpaceDE w:val="0"/>
        <w:autoSpaceDN w:val="0"/>
        <w:adjustRightInd w:val="0"/>
        <w:spacing w:after="0" w:line="240" w:lineRule="auto"/>
        <w:jc w:val="both"/>
        <w:rPr>
          <w:rFonts w:ascii="Times New Roman" w:hAnsi="Times New Roman"/>
          <w:bCs/>
          <w:sz w:val="24"/>
          <w:szCs w:val="24"/>
        </w:rPr>
      </w:pPr>
      <w:r w:rsidRPr="00AD2485">
        <w:rPr>
          <w:rFonts w:ascii="Times New Roman" w:hAnsi="Times New Roman"/>
          <w:bCs/>
          <w:sz w:val="24"/>
          <w:szCs w:val="24"/>
        </w:rPr>
        <w:t>What was the frequency, amount and extent of communication</w:t>
      </w:r>
      <w:r>
        <w:rPr>
          <w:rFonts w:ascii="Times New Roman" w:hAnsi="Times New Roman"/>
          <w:bCs/>
          <w:sz w:val="24"/>
          <w:szCs w:val="24"/>
        </w:rPr>
        <w:t>? Was the message broadcasted once or repeated on several occasions</w:t>
      </w:r>
      <w:r w:rsidRPr="00AD2485">
        <w:rPr>
          <w:rFonts w:ascii="Times New Roman" w:hAnsi="Times New Roman"/>
          <w:bCs/>
          <w:sz w:val="24"/>
          <w:szCs w:val="24"/>
        </w:rPr>
        <w:t>?</w:t>
      </w:r>
      <w:r>
        <w:rPr>
          <w:rFonts w:ascii="Times New Roman" w:hAnsi="Times New Roman"/>
          <w:bCs/>
          <w:sz w:val="24"/>
          <w:szCs w:val="24"/>
        </w:rPr>
        <w:t xml:space="preserve"> </w:t>
      </w:r>
    </w:p>
    <w:p w:rsidR="009962E3" w:rsidRDefault="009962E3" w:rsidP="000E5A56">
      <w:pPr>
        <w:pStyle w:val="ListParagraph"/>
        <w:autoSpaceDE w:val="0"/>
        <w:autoSpaceDN w:val="0"/>
        <w:adjustRightInd w:val="0"/>
        <w:spacing w:after="0" w:line="240" w:lineRule="auto"/>
        <w:jc w:val="both"/>
        <w:rPr>
          <w:rFonts w:ascii="Times New Roman" w:hAnsi="Times New Roman"/>
          <w:bCs/>
          <w:sz w:val="24"/>
          <w:szCs w:val="24"/>
        </w:rPr>
      </w:pPr>
    </w:p>
    <w:p w:rsidR="009962E3" w:rsidRDefault="009962E3" w:rsidP="000E5A56">
      <w:pPr>
        <w:pStyle w:val="ListParagraph"/>
        <w:autoSpaceDE w:val="0"/>
        <w:autoSpaceDN w:val="0"/>
        <w:adjustRightInd w:val="0"/>
        <w:spacing w:after="0" w:line="240" w:lineRule="auto"/>
        <w:jc w:val="both"/>
        <w:rPr>
          <w:rFonts w:ascii="Times New Roman" w:hAnsi="Times New Roman"/>
          <w:bCs/>
          <w:sz w:val="24"/>
          <w:szCs w:val="24"/>
        </w:rPr>
      </w:pPr>
    </w:p>
    <w:p w:rsidR="009962E3" w:rsidRDefault="009962E3" w:rsidP="000E5A56">
      <w:pPr>
        <w:spacing w:after="100" w:afterAutospacing="1"/>
        <w:ind w:left="360"/>
        <w:jc w:val="both"/>
        <w:rPr>
          <w:rFonts w:ascii="Times New Roman" w:hAnsi="Times New Roman" w:cs="Times New Roman"/>
          <w:b/>
          <w:bCs/>
          <w:sz w:val="24"/>
          <w:szCs w:val="24"/>
          <w:lang w:val="en-US"/>
        </w:rPr>
      </w:pPr>
      <w:r w:rsidRPr="000E5A56">
        <w:rPr>
          <w:rFonts w:ascii="Times New Roman" w:hAnsi="Times New Roman"/>
          <w:b/>
          <w:bCs/>
          <w:sz w:val="24"/>
          <w:szCs w:val="24"/>
        </w:rPr>
        <w:t xml:space="preserve">7.6 </w:t>
      </w:r>
      <w:r w:rsidRPr="000E5A56">
        <w:rPr>
          <w:rFonts w:ascii="Times New Roman" w:hAnsi="Times New Roman" w:cs="Times New Roman"/>
          <w:b/>
          <w:bCs/>
          <w:sz w:val="24"/>
          <w:szCs w:val="24"/>
          <w:lang w:val="en-US"/>
        </w:rPr>
        <w:t>What was the likelihood of i</w:t>
      </w:r>
      <w:r>
        <w:rPr>
          <w:rFonts w:ascii="Times New Roman" w:hAnsi="Times New Roman" w:cs="Times New Roman"/>
          <w:b/>
          <w:bCs/>
          <w:sz w:val="24"/>
          <w:szCs w:val="24"/>
          <w:lang w:val="en-US"/>
        </w:rPr>
        <w:t>nfluencing</w:t>
      </w:r>
      <w:r w:rsidRPr="000E5A56">
        <w:rPr>
          <w:rFonts w:ascii="Times New Roman" w:hAnsi="Times New Roman" w:cs="Times New Roman"/>
          <w:b/>
          <w:bCs/>
          <w:sz w:val="24"/>
          <w:szCs w:val="24"/>
          <w:lang w:val="en-US"/>
        </w:rPr>
        <w:t xml:space="preserve"> the audience and its </w:t>
      </w:r>
      <w:r>
        <w:rPr>
          <w:rFonts w:ascii="Times New Roman" w:hAnsi="Times New Roman" w:cs="Times New Roman"/>
          <w:b/>
          <w:bCs/>
          <w:sz w:val="24"/>
          <w:szCs w:val="24"/>
          <w:lang w:val="en-US"/>
        </w:rPr>
        <w:t>subsequent</w:t>
      </w:r>
      <w:r w:rsidRPr="000E5A56">
        <w:rPr>
          <w:rFonts w:ascii="Times New Roman" w:hAnsi="Times New Roman" w:cs="Times New Roman"/>
          <w:b/>
          <w:bCs/>
          <w:sz w:val="24"/>
          <w:szCs w:val="24"/>
          <w:lang w:val="en-US"/>
        </w:rPr>
        <w:t xml:space="preserve"> actions</w:t>
      </w:r>
      <w:r>
        <w:rPr>
          <w:rFonts w:ascii="Times New Roman" w:hAnsi="Times New Roman" w:cs="Times New Roman"/>
          <w:b/>
          <w:bCs/>
          <w:sz w:val="24"/>
          <w:szCs w:val="24"/>
          <w:lang w:val="en-US"/>
        </w:rPr>
        <w:t>?</w:t>
      </w:r>
    </w:p>
    <w:p w:rsidR="009962E3" w:rsidRPr="00810A9A" w:rsidRDefault="009962E3" w:rsidP="00810A9A">
      <w:pPr>
        <w:autoSpaceDE w:val="0"/>
        <w:autoSpaceDN w:val="0"/>
        <w:adjustRightInd w:val="0"/>
        <w:spacing w:after="0"/>
        <w:jc w:val="both"/>
        <w:rPr>
          <w:rFonts w:ascii="Times New Roman" w:hAnsi="Times New Roman" w:cs="Times New Roman"/>
          <w:color w:val="231F20"/>
          <w:sz w:val="24"/>
          <w:szCs w:val="24"/>
          <w:lang w:val="en-US"/>
        </w:rPr>
      </w:pPr>
      <w:r w:rsidRPr="00810A9A">
        <w:rPr>
          <w:rFonts w:ascii="Times New Roman" w:hAnsi="Times New Roman" w:cs="Times New Roman"/>
          <w:color w:val="231F20"/>
          <w:sz w:val="24"/>
          <w:szCs w:val="24"/>
          <w:lang w:val="en-US"/>
        </w:rPr>
        <w:t>The last point of analysis is to assess the probability of harm that may occur as a consequence of the expression. In other words, it should be predicted how the audience w</w:t>
      </w:r>
      <w:r>
        <w:rPr>
          <w:rFonts w:ascii="Times New Roman" w:hAnsi="Times New Roman" w:cs="Times New Roman"/>
          <w:color w:val="231F20"/>
          <w:sz w:val="24"/>
          <w:szCs w:val="24"/>
          <w:lang w:val="en-US"/>
        </w:rPr>
        <w:t>ill</w:t>
      </w:r>
      <w:r w:rsidRPr="00810A9A">
        <w:rPr>
          <w:rFonts w:ascii="Times New Roman" w:hAnsi="Times New Roman" w:cs="Times New Roman"/>
          <w:color w:val="231F20"/>
          <w:sz w:val="24"/>
          <w:szCs w:val="24"/>
          <w:lang w:val="en-US"/>
        </w:rPr>
        <w:t xml:space="preserve"> receive the message and what actions m</w:t>
      </w:r>
      <w:r>
        <w:rPr>
          <w:rFonts w:ascii="Times New Roman" w:hAnsi="Times New Roman" w:cs="Times New Roman"/>
          <w:color w:val="231F20"/>
          <w:sz w:val="24"/>
          <w:szCs w:val="24"/>
          <w:lang w:val="en-US"/>
        </w:rPr>
        <w:t>ay</w:t>
      </w:r>
      <w:r w:rsidRPr="00810A9A">
        <w:rPr>
          <w:rFonts w:ascii="Times New Roman" w:hAnsi="Times New Roman" w:cs="Times New Roman"/>
          <w:color w:val="231F20"/>
          <w:sz w:val="24"/>
          <w:szCs w:val="24"/>
          <w:lang w:val="en-US"/>
        </w:rPr>
        <w:t xml:space="preserve"> follow as a negative consequence. The criteria for assessing the risk of </w:t>
      </w:r>
      <w:r>
        <w:rPr>
          <w:rFonts w:ascii="Times New Roman" w:hAnsi="Times New Roman" w:cs="Times New Roman"/>
          <w:color w:val="231F20"/>
          <w:sz w:val="24"/>
          <w:szCs w:val="24"/>
          <w:lang w:val="en-US"/>
        </w:rPr>
        <w:t xml:space="preserve">negative actions </w:t>
      </w:r>
      <w:r w:rsidRPr="00810A9A">
        <w:rPr>
          <w:rFonts w:ascii="Times New Roman" w:hAnsi="Times New Roman" w:cs="Times New Roman"/>
          <w:color w:val="231F20"/>
          <w:sz w:val="24"/>
          <w:szCs w:val="24"/>
          <w:lang w:val="en-US"/>
        </w:rPr>
        <w:t>ha</w:t>
      </w:r>
      <w:r>
        <w:rPr>
          <w:rFonts w:ascii="Times New Roman" w:hAnsi="Times New Roman" w:cs="Times New Roman"/>
          <w:color w:val="231F20"/>
          <w:sz w:val="24"/>
          <w:szCs w:val="24"/>
          <w:lang w:val="en-US"/>
        </w:rPr>
        <w:t>ve</w:t>
      </w:r>
      <w:r w:rsidRPr="00810A9A">
        <w:rPr>
          <w:rFonts w:ascii="Times New Roman" w:hAnsi="Times New Roman" w:cs="Times New Roman"/>
          <w:color w:val="231F20"/>
          <w:sz w:val="24"/>
          <w:szCs w:val="24"/>
          <w:lang w:val="en-US"/>
        </w:rPr>
        <w:t xml:space="preserve"> to be established on a case-by-case basis</w:t>
      </w:r>
      <w:r>
        <w:rPr>
          <w:rFonts w:ascii="Times New Roman" w:hAnsi="Times New Roman" w:cs="Times New Roman"/>
          <w:color w:val="231F20"/>
          <w:sz w:val="24"/>
          <w:szCs w:val="24"/>
          <w:lang w:val="en-US"/>
        </w:rPr>
        <w:t>, by answering several questions</w:t>
      </w:r>
      <w:r>
        <w:rPr>
          <w:rStyle w:val="FootnoteReference"/>
          <w:rFonts w:ascii="Times New Roman" w:hAnsi="Times New Roman"/>
          <w:color w:val="231F20"/>
          <w:sz w:val="24"/>
          <w:szCs w:val="24"/>
          <w:lang w:val="en-US"/>
        </w:rPr>
        <w:footnoteReference w:id="26"/>
      </w:r>
      <w:r>
        <w:rPr>
          <w:rFonts w:ascii="Times New Roman" w:hAnsi="Times New Roman" w:cs="Times New Roman"/>
          <w:color w:val="231F20"/>
          <w:sz w:val="24"/>
          <w:szCs w:val="24"/>
          <w:lang w:val="en-US"/>
        </w:rPr>
        <w:t>:</w:t>
      </w:r>
      <w:r w:rsidRPr="00810A9A">
        <w:rPr>
          <w:rFonts w:ascii="Times New Roman" w:hAnsi="Times New Roman" w:cs="Times New Roman"/>
          <w:color w:val="231F20"/>
          <w:sz w:val="24"/>
          <w:szCs w:val="24"/>
          <w:lang w:val="en-US"/>
        </w:rPr>
        <w:t xml:space="preserve"> </w:t>
      </w:r>
    </w:p>
    <w:p w:rsidR="009962E3" w:rsidRDefault="009962E3" w:rsidP="00810A9A">
      <w:pPr>
        <w:pStyle w:val="ListParagraph"/>
        <w:numPr>
          <w:ilvl w:val="0"/>
          <w:numId w:val="38"/>
        </w:numPr>
        <w:spacing w:before="240" w:after="100" w:afterAutospacing="1" w:line="240" w:lineRule="auto"/>
        <w:ind w:left="720"/>
        <w:jc w:val="both"/>
        <w:rPr>
          <w:rFonts w:ascii="Times New Roman" w:hAnsi="Times New Roman"/>
          <w:bCs/>
          <w:sz w:val="24"/>
          <w:szCs w:val="24"/>
        </w:rPr>
      </w:pPr>
      <w:r w:rsidRPr="00810A9A">
        <w:rPr>
          <w:rFonts w:ascii="Times New Roman" w:hAnsi="Times New Roman"/>
          <w:bCs/>
          <w:sz w:val="24"/>
          <w:szCs w:val="24"/>
        </w:rPr>
        <w:t xml:space="preserve">Was the speech understood by its audience </w:t>
      </w:r>
      <w:r>
        <w:rPr>
          <w:rFonts w:ascii="Times New Roman" w:hAnsi="Times New Roman"/>
          <w:bCs/>
          <w:sz w:val="24"/>
          <w:szCs w:val="24"/>
        </w:rPr>
        <w:t>as</w:t>
      </w:r>
      <w:r w:rsidRPr="00810A9A">
        <w:rPr>
          <w:rFonts w:ascii="Times New Roman" w:hAnsi="Times New Roman"/>
          <w:bCs/>
          <w:sz w:val="24"/>
          <w:szCs w:val="24"/>
        </w:rPr>
        <w:t xml:space="preserve"> a call to acts of discrimination, violence or hostility?</w:t>
      </w:r>
    </w:p>
    <w:p w:rsidR="009962E3" w:rsidRDefault="009962E3" w:rsidP="00810A9A">
      <w:pPr>
        <w:pStyle w:val="ListParagraph"/>
        <w:numPr>
          <w:ilvl w:val="0"/>
          <w:numId w:val="38"/>
        </w:numPr>
        <w:spacing w:before="240" w:after="100" w:afterAutospacing="1" w:line="240" w:lineRule="auto"/>
        <w:ind w:left="720"/>
        <w:jc w:val="both"/>
        <w:rPr>
          <w:rFonts w:ascii="Times New Roman" w:hAnsi="Times New Roman"/>
          <w:bCs/>
          <w:sz w:val="24"/>
          <w:szCs w:val="24"/>
        </w:rPr>
      </w:pPr>
      <w:r w:rsidRPr="00810A9A">
        <w:rPr>
          <w:rFonts w:ascii="Times New Roman" w:hAnsi="Times New Roman"/>
          <w:bCs/>
          <w:sz w:val="24"/>
          <w:szCs w:val="24"/>
        </w:rPr>
        <w:t>Was the speaker able to influence the audience?</w:t>
      </w:r>
    </w:p>
    <w:p w:rsidR="009962E3" w:rsidRDefault="009962E3" w:rsidP="00810A9A">
      <w:pPr>
        <w:pStyle w:val="ListParagraph"/>
        <w:numPr>
          <w:ilvl w:val="0"/>
          <w:numId w:val="38"/>
        </w:numPr>
        <w:spacing w:before="240" w:after="100" w:afterAutospacing="1" w:line="240" w:lineRule="auto"/>
        <w:ind w:left="720"/>
        <w:jc w:val="both"/>
        <w:rPr>
          <w:rFonts w:ascii="Times New Roman" w:hAnsi="Times New Roman"/>
          <w:bCs/>
          <w:sz w:val="24"/>
          <w:szCs w:val="24"/>
        </w:rPr>
      </w:pPr>
      <w:r w:rsidRPr="00810A9A">
        <w:rPr>
          <w:rFonts w:ascii="Times New Roman" w:hAnsi="Times New Roman"/>
          <w:bCs/>
          <w:sz w:val="24"/>
          <w:szCs w:val="24"/>
        </w:rPr>
        <w:t xml:space="preserve">Did the audience have the means to </w:t>
      </w:r>
      <w:r>
        <w:rPr>
          <w:rFonts w:ascii="Times New Roman" w:hAnsi="Times New Roman"/>
          <w:bCs/>
          <w:sz w:val="24"/>
          <w:szCs w:val="24"/>
        </w:rPr>
        <w:t>perform</w:t>
      </w:r>
      <w:r w:rsidRPr="00810A9A">
        <w:rPr>
          <w:rFonts w:ascii="Times New Roman" w:hAnsi="Times New Roman"/>
          <w:bCs/>
          <w:sz w:val="24"/>
          <w:szCs w:val="24"/>
        </w:rPr>
        <w:t xml:space="preserve"> the advocated action, and commit acts of discrimination, violence or hostility?</w:t>
      </w:r>
    </w:p>
    <w:p w:rsidR="009962E3" w:rsidRPr="00810A9A" w:rsidRDefault="009962E3" w:rsidP="00810A9A">
      <w:pPr>
        <w:pStyle w:val="ListParagraph"/>
        <w:numPr>
          <w:ilvl w:val="0"/>
          <w:numId w:val="38"/>
        </w:numPr>
        <w:spacing w:before="240" w:after="100" w:afterAutospacing="1" w:line="240" w:lineRule="auto"/>
        <w:ind w:left="720"/>
        <w:jc w:val="both"/>
        <w:rPr>
          <w:rFonts w:ascii="Times New Roman" w:hAnsi="Times New Roman"/>
          <w:bCs/>
          <w:sz w:val="24"/>
          <w:szCs w:val="24"/>
        </w:rPr>
      </w:pPr>
      <w:r w:rsidRPr="00810A9A">
        <w:rPr>
          <w:rFonts w:ascii="Times New Roman" w:hAnsi="Times New Roman"/>
          <w:bCs/>
          <w:sz w:val="24"/>
          <w:szCs w:val="24"/>
        </w:rPr>
        <w:t>Had the targeted group suffered or been the target of discrimination, violence or hostility</w:t>
      </w:r>
      <w:r>
        <w:rPr>
          <w:rFonts w:ascii="Times New Roman" w:hAnsi="Times New Roman"/>
          <w:bCs/>
          <w:sz w:val="24"/>
          <w:szCs w:val="24"/>
        </w:rPr>
        <w:t xml:space="preserve"> shortly before this</w:t>
      </w:r>
      <w:r w:rsidRPr="00810A9A">
        <w:rPr>
          <w:rFonts w:ascii="Times New Roman" w:hAnsi="Times New Roman"/>
          <w:bCs/>
          <w:sz w:val="24"/>
          <w:szCs w:val="24"/>
        </w:rPr>
        <w:t>?</w:t>
      </w:r>
    </w:p>
    <w:p w:rsidR="009962E3" w:rsidRPr="004B3159" w:rsidRDefault="009962E3" w:rsidP="00895D49">
      <w:pPr>
        <w:spacing w:before="100" w:beforeAutospacing="1" w:after="100" w:afterAutospacing="1"/>
        <w:jc w:val="both"/>
        <w:rPr>
          <w:rFonts w:ascii="Times New Roman" w:hAnsi="Times New Roman" w:cs="Times New Roman"/>
          <w:bCs/>
          <w:sz w:val="24"/>
          <w:szCs w:val="24"/>
          <w:lang w:val="en-US"/>
        </w:rPr>
      </w:pPr>
      <w:r w:rsidRPr="004B3159">
        <w:rPr>
          <w:rFonts w:ascii="Times New Roman" w:hAnsi="Times New Roman" w:cs="Times New Roman"/>
          <w:bCs/>
          <w:sz w:val="24"/>
          <w:szCs w:val="24"/>
          <w:lang w:val="en-US"/>
        </w:rPr>
        <w:t>The reporting format of the results of the monitoring should follow the way the European Court o</w:t>
      </w:r>
      <w:r>
        <w:rPr>
          <w:rFonts w:ascii="Times New Roman" w:hAnsi="Times New Roman" w:cs="Times New Roman"/>
          <w:bCs/>
          <w:sz w:val="24"/>
          <w:szCs w:val="24"/>
          <w:lang w:val="en-US"/>
        </w:rPr>
        <w:t>f</w:t>
      </w:r>
      <w:r w:rsidRPr="004B3159">
        <w:rPr>
          <w:rFonts w:ascii="Times New Roman" w:hAnsi="Times New Roman" w:cs="Times New Roman"/>
          <w:bCs/>
          <w:sz w:val="24"/>
          <w:szCs w:val="24"/>
          <w:lang w:val="en-US"/>
        </w:rPr>
        <w:t xml:space="preserve"> Human Rights measures whether there is a need to restrict the </w:t>
      </w:r>
      <w:r>
        <w:rPr>
          <w:rFonts w:ascii="Times New Roman" w:hAnsi="Times New Roman" w:cs="Times New Roman"/>
          <w:bCs/>
          <w:sz w:val="24"/>
          <w:szCs w:val="24"/>
          <w:lang w:val="en-US"/>
        </w:rPr>
        <w:t>f</w:t>
      </w:r>
      <w:r w:rsidRPr="004B3159">
        <w:rPr>
          <w:rFonts w:ascii="Times New Roman" w:hAnsi="Times New Roman" w:cs="Times New Roman"/>
          <w:bCs/>
          <w:sz w:val="24"/>
          <w:szCs w:val="24"/>
          <w:lang w:val="en-US"/>
        </w:rPr>
        <w:t>reedom of expression or not</w:t>
      </w:r>
      <w:r>
        <w:rPr>
          <w:rFonts w:ascii="Times New Roman" w:hAnsi="Times New Roman" w:cs="Times New Roman"/>
          <w:bCs/>
          <w:sz w:val="24"/>
          <w:szCs w:val="24"/>
          <w:lang w:val="en-US"/>
        </w:rPr>
        <w:t>,</w:t>
      </w:r>
      <w:r w:rsidRPr="004B3159">
        <w:rPr>
          <w:rFonts w:ascii="Times New Roman" w:hAnsi="Times New Roman" w:cs="Times New Roman"/>
          <w:bCs/>
          <w:sz w:val="24"/>
          <w:szCs w:val="24"/>
          <w:lang w:val="en-US"/>
        </w:rPr>
        <w:t xml:space="preserve"> in every individual case. Th</w:t>
      </w:r>
      <w:r>
        <w:rPr>
          <w:rFonts w:ascii="Times New Roman" w:hAnsi="Times New Roman" w:cs="Times New Roman"/>
          <w:bCs/>
          <w:sz w:val="24"/>
          <w:szCs w:val="24"/>
          <w:lang w:val="en-US"/>
        </w:rPr>
        <w:t>is</w:t>
      </w:r>
      <w:r w:rsidRPr="004B3159">
        <w:rPr>
          <w:rFonts w:ascii="Times New Roman" w:hAnsi="Times New Roman" w:cs="Times New Roman"/>
          <w:bCs/>
          <w:sz w:val="24"/>
          <w:szCs w:val="24"/>
          <w:lang w:val="en-US"/>
        </w:rPr>
        <w:t xml:space="preserve"> means that the respect</w:t>
      </w:r>
      <w:r>
        <w:rPr>
          <w:rFonts w:ascii="Times New Roman" w:hAnsi="Times New Roman" w:cs="Times New Roman"/>
          <w:bCs/>
          <w:sz w:val="24"/>
          <w:szCs w:val="24"/>
          <w:lang w:val="en-US"/>
        </w:rPr>
        <w:t>ive</w:t>
      </w:r>
      <w:r w:rsidRPr="004B3159">
        <w:rPr>
          <w:rFonts w:ascii="Times New Roman" w:hAnsi="Times New Roman" w:cs="Times New Roman"/>
          <w:bCs/>
          <w:sz w:val="24"/>
          <w:szCs w:val="24"/>
          <w:lang w:val="en-US"/>
        </w:rPr>
        <w:t xml:space="preserve"> departments should prepare </w:t>
      </w:r>
      <w:r>
        <w:rPr>
          <w:rFonts w:ascii="Times New Roman" w:hAnsi="Times New Roman" w:cs="Times New Roman"/>
          <w:bCs/>
          <w:sz w:val="24"/>
          <w:szCs w:val="24"/>
          <w:lang w:val="en-US"/>
        </w:rPr>
        <w:t>a</w:t>
      </w:r>
      <w:r w:rsidRPr="004B3159">
        <w:rPr>
          <w:rFonts w:ascii="Times New Roman" w:hAnsi="Times New Roman" w:cs="Times New Roman"/>
          <w:bCs/>
          <w:sz w:val="24"/>
          <w:szCs w:val="24"/>
          <w:lang w:val="en-US"/>
        </w:rPr>
        <w:t xml:space="preserve"> proposal </w:t>
      </w:r>
      <w:r>
        <w:rPr>
          <w:rFonts w:ascii="Times New Roman" w:hAnsi="Times New Roman" w:cs="Times New Roman"/>
          <w:bCs/>
          <w:sz w:val="24"/>
          <w:szCs w:val="24"/>
          <w:lang w:val="en-US"/>
        </w:rPr>
        <w:t xml:space="preserve">stating </w:t>
      </w:r>
      <w:r w:rsidRPr="004B3159">
        <w:rPr>
          <w:rFonts w:ascii="Times New Roman" w:hAnsi="Times New Roman" w:cs="Times New Roman"/>
          <w:bCs/>
          <w:sz w:val="24"/>
          <w:szCs w:val="24"/>
          <w:lang w:val="en-US"/>
        </w:rPr>
        <w:t xml:space="preserve">that there is “hate speech” in media, quoting not only the Law on </w:t>
      </w:r>
      <w:r>
        <w:rPr>
          <w:rFonts w:ascii="Times New Roman" w:hAnsi="Times New Roman" w:cs="Times New Roman"/>
          <w:bCs/>
          <w:sz w:val="24"/>
          <w:szCs w:val="24"/>
          <w:lang w:val="en-US"/>
        </w:rPr>
        <w:t>A</w:t>
      </w:r>
      <w:r w:rsidRPr="004B3159">
        <w:rPr>
          <w:rFonts w:ascii="Times New Roman" w:hAnsi="Times New Roman" w:cs="Times New Roman"/>
          <w:bCs/>
          <w:sz w:val="24"/>
          <w:szCs w:val="24"/>
          <w:lang w:val="en-US"/>
        </w:rPr>
        <w:t xml:space="preserve">udio and </w:t>
      </w:r>
      <w:r>
        <w:rPr>
          <w:rFonts w:ascii="Times New Roman" w:hAnsi="Times New Roman" w:cs="Times New Roman"/>
          <w:bCs/>
          <w:sz w:val="24"/>
          <w:szCs w:val="24"/>
          <w:lang w:val="en-US"/>
        </w:rPr>
        <w:t>A</w:t>
      </w:r>
      <w:r w:rsidRPr="004B3159">
        <w:rPr>
          <w:rFonts w:ascii="Times New Roman" w:hAnsi="Times New Roman" w:cs="Times New Roman"/>
          <w:bCs/>
          <w:sz w:val="24"/>
          <w:szCs w:val="24"/>
          <w:lang w:val="en-US"/>
        </w:rPr>
        <w:t xml:space="preserve">udiovisual </w:t>
      </w:r>
      <w:r>
        <w:rPr>
          <w:rFonts w:ascii="Times New Roman" w:hAnsi="Times New Roman" w:cs="Times New Roman"/>
          <w:bCs/>
          <w:sz w:val="24"/>
          <w:szCs w:val="24"/>
          <w:lang w:val="en-US"/>
        </w:rPr>
        <w:t>M</w:t>
      </w:r>
      <w:r w:rsidRPr="004B3159">
        <w:rPr>
          <w:rFonts w:ascii="Times New Roman" w:hAnsi="Times New Roman" w:cs="Times New Roman"/>
          <w:bCs/>
          <w:sz w:val="24"/>
          <w:szCs w:val="24"/>
          <w:lang w:val="en-US"/>
        </w:rPr>
        <w:t xml:space="preserve">edia </w:t>
      </w:r>
      <w:r>
        <w:rPr>
          <w:rFonts w:ascii="Times New Roman" w:hAnsi="Times New Roman" w:cs="Times New Roman"/>
          <w:bCs/>
          <w:sz w:val="24"/>
          <w:szCs w:val="24"/>
          <w:lang w:val="en-US"/>
        </w:rPr>
        <w:t>S</w:t>
      </w:r>
      <w:r w:rsidRPr="004B3159">
        <w:rPr>
          <w:rFonts w:ascii="Times New Roman" w:hAnsi="Times New Roman" w:cs="Times New Roman"/>
          <w:bCs/>
          <w:sz w:val="24"/>
          <w:szCs w:val="24"/>
          <w:lang w:val="en-US"/>
        </w:rPr>
        <w:t>ervices, but also explaining the legitimate aim for th</w:t>
      </w:r>
      <w:r>
        <w:rPr>
          <w:rFonts w:ascii="Times New Roman" w:hAnsi="Times New Roman" w:cs="Times New Roman"/>
          <w:bCs/>
          <w:sz w:val="24"/>
          <w:szCs w:val="24"/>
          <w:lang w:val="en-US"/>
        </w:rPr>
        <w:t>eir</w:t>
      </w:r>
      <w:r w:rsidRPr="004B3159">
        <w:rPr>
          <w:rFonts w:ascii="Times New Roman" w:hAnsi="Times New Roman" w:cs="Times New Roman"/>
          <w:bCs/>
          <w:sz w:val="24"/>
          <w:szCs w:val="24"/>
          <w:lang w:val="en-US"/>
        </w:rPr>
        <w:t xml:space="preserve"> decision and why such a restriction of the freedom of expression is necessary in a democratic society. </w:t>
      </w:r>
    </w:p>
    <w:p w:rsidR="009962E3" w:rsidRPr="00DC0836" w:rsidRDefault="009962E3" w:rsidP="00895D49">
      <w:pPr>
        <w:pStyle w:val="ListParagraph"/>
        <w:numPr>
          <w:ilvl w:val="0"/>
          <w:numId w:val="33"/>
        </w:numPr>
        <w:spacing w:before="100" w:beforeAutospacing="1" w:after="100" w:afterAutospacing="1" w:line="240" w:lineRule="auto"/>
        <w:ind w:left="360"/>
        <w:rPr>
          <w:rFonts w:ascii="Times New Roman" w:hAnsi="Times New Roman"/>
          <w:b/>
          <w:bCs/>
          <w:sz w:val="28"/>
          <w:szCs w:val="28"/>
        </w:rPr>
      </w:pPr>
      <w:r w:rsidRPr="00895D49">
        <w:rPr>
          <w:rFonts w:ascii="Times New Roman" w:hAnsi="Times New Roman"/>
          <w:b/>
          <w:bCs/>
          <w:sz w:val="24"/>
          <w:szCs w:val="24"/>
        </w:rPr>
        <w:br w:type="page"/>
      </w:r>
      <w:r w:rsidRPr="00DC0836">
        <w:rPr>
          <w:rFonts w:ascii="Times New Roman" w:hAnsi="Times New Roman"/>
          <w:b/>
          <w:bCs/>
          <w:sz w:val="28"/>
          <w:szCs w:val="28"/>
        </w:rPr>
        <w:t>An Overview of Other Regulatory Bodies’ Practices in Monitoring Hate Speech</w:t>
      </w:r>
    </w:p>
    <w:p w:rsidR="009962E3" w:rsidRDefault="009962E3" w:rsidP="007F0901">
      <w:pPr>
        <w:pStyle w:val="ListParagraph"/>
        <w:spacing w:before="100" w:beforeAutospacing="1" w:after="100" w:afterAutospacing="1" w:line="240" w:lineRule="auto"/>
        <w:ind w:left="0"/>
        <w:rPr>
          <w:rFonts w:ascii="Times New Roman" w:hAnsi="Times New Roman"/>
          <w:b/>
          <w:bCs/>
          <w:sz w:val="24"/>
          <w:szCs w:val="24"/>
        </w:rPr>
      </w:pPr>
    </w:p>
    <w:p w:rsidR="009962E3" w:rsidRPr="00DC0836" w:rsidRDefault="009962E3" w:rsidP="007F0901">
      <w:pPr>
        <w:spacing w:before="158"/>
        <w:ind w:left="360"/>
        <w:jc w:val="both"/>
        <w:rPr>
          <w:rStyle w:val="FontStyle38"/>
          <w:rFonts w:ascii="Times New Roman" w:hAnsi="Times New Roman" w:cs="Times New Roman"/>
          <w:sz w:val="24"/>
          <w:szCs w:val="24"/>
        </w:rPr>
      </w:pPr>
      <w:r w:rsidRPr="00DC0836">
        <w:rPr>
          <w:rStyle w:val="FontStyle38"/>
          <w:rFonts w:ascii="Times New Roman" w:hAnsi="Times New Roman" w:cs="Times New Roman"/>
          <w:sz w:val="24"/>
          <w:szCs w:val="24"/>
        </w:rPr>
        <w:t>The scope and mandate of regulatory authorities in the audiovisual field, as civil administrations, when dealing with cases of hate speech, were discussed at the 39</w:t>
      </w:r>
      <w:r w:rsidRPr="00DC0836">
        <w:rPr>
          <w:rStyle w:val="FontStyle38"/>
          <w:rFonts w:ascii="Times New Roman" w:hAnsi="Times New Roman" w:cs="Times New Roman"/>
          <w:sz w:val="24"/>
          <w:szCs w:val="24"/>
          <w:vertAlign w:val="superscript"/>
        </w:rPr>
        <w:t>th</w:t>
      </w:r>
      <w:r w:rsidRPr="00DC0836">
        <w:rPr>
          <w:rStyle w:val="FontStyle38"/>
          <w:rFonts w:ascii="Times New Roman" w:hAnsi="Times New Roman" w:cs="Times New Roman"/>
          <w:sz w:val="24"/>
          <w:szCs w:val="24"/>
        </w:rPr>
        <w:t xml:space="preserve"> meeting of the European Platform of Regulatory Authorities (EPRA) held in Budva in June 2014. The summary of conclusions presented below is drawn from the analysis presented during the second plenary session in Budva</w:t>
      </w:r>
      <w:r w:rsidRPr="00DC0836">
        <w:rPr>
          <w:rStyle w:val="FootnoteReference"/>
          <w:rFonts w:ascii="Times New Roman" w:hAnsi="Times New Roman"/>
          <w:sz w:val="24"/>
          <w:szCs w:val="24"/>
        </w:rPr>
        <w:footnoteReference w:id="27"/>
      </w:r>
      <w:r w:rsidRPr="00DC0836">
        <w:rPr>
          <w:rStyle w:val="FontStyle38"/>
          <w:rFonts w:ascii="Times New Roman" w:hAnsi="Times New Roman" w:cs="Times New Roman"/>
          <w:sz w:val="24"/>
          <w:szCs w:val="24"/>
        </w:rPr>
        <w:t xml:space="preserve">.  </w:t>
      </w:r>
    </w:p>
    <w:p w:rsidR="009962E3" w:rsidRPr="00DC0836" w:rsidRDefault="009962E3" w:rsidP="007F0901">
      <w:pPr>
        <w:spacing w:before="158"/>
        <w:ind w:left="360"/>
        <w:jc w:val="both"/>
        <w:rPr>
          <w:rStyle w:val="FontStyle38"/>
          <w:rFonts w:ascii="Times New Roman" w:hAnsi="Times New Roman" w:cs="Times New Roman"/>
          <w:sz w:val="24"/>
          <w:szCs w:val="24"/>
        </w:rPr>
      </w:pPr>
      <w:r w:rsidRPr="00DC0836">
        <w:rPr>
          <w:rStyle w:val="FontStyle38"/>
          <w:rFonts w:ascii="Times New Roman" w:hAnsi="Times New Roman" w:cs="Times New Roman"/>
          <w:sz w:val="24"/>
          <w:szCs w:val="24"/>
        </w:rPr>
        <w:t>The evidence presented in the EPRA analysis shows that the issue of hate speech has been an extremely important topic for the audiovisual regulators in Europe, especially taking into account the emergence of plenty</w:t>
      </w:r>
      <w:r w:rsidRPr="00DC0836">
        <w:rPr>
          <w:rStyle w:val="FontStyle38"/>
          <w:rFonts w:ascii="Times New Roman" w:hAnsi="Times New Roman" w:cs="Times New Roman"/>
          <w:sz w:val="24"/>
          <w:szCs w:val="24"/>
          <w:lang w:val="mk-MK"/>
        </w:rPr>
        <w:t xml:space="preserve"> </w:t>
      </w:r>
      <w:r w:rsidRPr="00DC0836">
        <w:rPr>
          <w:rStyle w:val="FontStyle38"/>
          <w:rFonts w:ascii="Times New Roman" w:hAnsi="Times New Roman" w:cs="Times New Roman"/>
          <w:sz w:val="24"/>
          <w:szCs w:val="24"/>
          <w:lang w:val="en-US"/>
        </w:rPr>
        <w:t>of</w:t>
      </w:r>
      <w:r w:rsidRPr="00DC0836">
        <w:rPr>
          <w:rStyle w:val="FontStyle38"/>
          <w:rFonts w:ascii="Times New Roman" w:hAnsi="Times New Roman" w:cs="Times New Roman"/>
          <w:sz w:val="24"/>
          <w:szCs w:val="24"/>
        </w:rPr>
        <w:t xml:space="preserve"> new non-linear TV services distributed via new technological platforms. It is also emphasized that the issue of hate speech needs very careful and detailed consideration on the audiovisual regulators’ part in order to be classified as such. </w:t>
      </w:r>
    </w:p>
    <w:p w:rsidR="009962E3" w:rsidRPr="00DC0836" w:rsidRDefault="009962E3" w:rsidP="007F0901">
      <w:pPr>
        <w:numPr>
          <w:ilvl w:val="0"/>
          <w:numId w:val="45"/>
        </w:numPr>
        <w:autoSpaceDE w:val="0"/>
        <w:autoSpaceDN w:val="0"/>
        <w:adjustRightInd w:val="0"/>
        <w:spacing w:before="158" w:after="0"/>
        <w:jc w:val="both"/>
        <w:rPr>
          <w:rFonts w:ascii="Times New Roman" w:hAnsi="Times New Roman" w:cs="Times New Roman"/>
          <w:color w:val="000000"/>
          <w:sz w:val="24"/>
          <w:szCs w:val="24"/>
          <w:lang w:val="en-US"/>
        </w:rPr>
      </w:pPr>
      <w:r w:rsidRPr="00DC0836">
        <w:rPr>
          <w:rStyle w:val="FontStyle38"/>
          <w:rFonts w:ascii="Times New Roman" w:hAnsi="Times New Roman" w:cs="Times New Roman"/>
          <w:sz w:val="24"/>
          <w:szCs w:val="24"/>
        </w:rPr>
        <w:t xml:space="preserve">In most of the countries, hate speech is subject to both media legislation and criminal laws. National broadcasting laws, as a rule, contain an explicit provision prohibiting ‘incitement to hatred’, but rarely provide a detailed definition of the notion. The provisions in the broadcasting laws also provide information on the various grounds </w:t>
      </w:r>
      <w:r w:rsidRPr="00DC0836">
        <w:rPr>
          <w:rFonts w:ascii="Times New Roman" w:hAnsi="Times New Roman" w:cs="Times New Roman"/>
          <w:color w:val="000000"/>
          <w:sz w:val="24"/>
          <w:szCs w:val="24"/>
          <w:lang w:val="en-US"/>
        </w:rPr>
        <w:t xml:space="preserve">on which the incitement of hatred is prohibited: race, gender, religion and nationality, national or social origin, belief, ethnic background, skin colour, language, morals, sexual identity/expression/orientation/preferences, education, disability, etc. </w:t>
      </w:r>
    </w:p>
    <w:p w:rsidR="009962E3" w:rsidRPr="00DC0836" w:rsidRDefault="009962E3" w:rsidP="007F0901">
      <w:pPr>
        <w:numPr>
          <w:ilvl w:val="0"/>
          <w:numId w:val="45"/>
        </w:numPr>
        <w:tabs>
          <w:tab w:val="left" w:pos="1080"/>
        </w:tabs>
        <w:autoSpaceDE w:val="0"/>
        <w:autoSpaceDN w:val="0"/>
        <w:adjustRightInd w:val="0"/>
        <w:spacing w:before="158" w:after="0"/>
        <w:jc w:val="both"/>
        <w:rPr>
          <w:rFonts w:ascii="Times New Roman" w:hAnsi="Times New Roman" w:cs="Times New Roman"/>
          <w:color w:val="000000"/>
          <w:sz w:val="24"/>
          <w:szCs w:val="24"/>
          <w:lang w:val="en-US"/>
        </w:rPr>
      </w:pPr>
      <w:r w:rsidRPr="00DC0836">
        <w:rPr>
          <w:rFonts w:ascii="Times New Roman" w:hAnsi="Times New Roman" w:cs="Times New Roman"/>
          <w:color w:val="000000"/>
          <w:sz w:val="24"/>
          <w:szCs w:val="24"/>
          <w:lang w:val="en-US"/>
        </w:rPr>
        <w:t xml:space="preserve">The provisions in media legislation apply to both linear and non-linear media services, with the exemption of the United Kingdom where non-linear services are subject to self-regulation. Ofcom has powers to react against non-linear TV services only in cases of extreme hate speech. </w:t>
      </w:r>
    </w:p>
    <w:p w:rsidR="009962E3" w:rsidRPr="00DC0836" w:rsidRDefault="009962E3" w:rsidP="007F0901">
      <w:pPr>
        <w:numPr>
          <w:ilvl w:val="0"/>
          <w:numId w:val="45"/>
        </w:numPr>
        <w:tabs>
          <w:tab w:val="left" w:pos="1080"/>
        </w:tabs>
        <w:autoSpaceDE w:val="0"/>
        <w:autoSpaceDN w:val="0"/>
        <w:adjustRightInd w:val="0"/>
        <w:spacing w:before="158" w:after="0"/>
        <w:jc w:val="both"/>
        <w:rPr>
          <w:rFonts w:ascii="Times New Roman" w:hAnsi="Times New Roman" w:cs="Times New Roman"/>
          <w:color w:val="000000"/>
          <w:sz w:val="24"/>
          <w:szCs w:val="24"/>
          <w:lang w:val="en-US"/>
        </w:rPr>
      </w:pPr>
      <w:r w:rsidRPr="00DC0836">
        <w:rPr>
          <w:rFonts w:ascii="Times New Roman" w:hAnsi="Times New Roman" w:cs="Times New Roman"/>
          <w:color w:val="000000"/>
          <w:sz w:val="24"/>
          <w:szCs w:val="24"/>
          <w:lang w:val="en-US"/>
        </w:rPr>
        <w:t xml:space="preserve">Legal derogations from the general prohibition of hate speech exist only in cases of broadcast content that is part of scientific and feature documentaries or part of journalistic reporting in which hate speech is analyzed as a negative phenomenon from a critical perspective.    </w:t>
      </w:r>
    </w:p>
    <w:p w:rsidR="009962E3" w:rsidRPr="00DC0836" w:rsidRDefault="009962E3" w:rsidP="007F0901">
      <w:pPr>
        <w:numPr>
          <w:ilvl w:val="0"/>
          <w:numId w:val="45"/>
        </w:numPr>
        <w:spacing w:before="158"/>
        <w:jc w:val="both"/>
        <w:rPr>
          <w:rStyle w:val="FontStyle38"/>
          <w:rFonts w:ascii="Times New Roman" w:hAnsi="Times New Roman" w:cs="Times New Roman"/>
          <w:sz w:val="24"/>
          <w:szCs w:val="24"/>
        </w:rPr>
      </w:pPr>
      <w:r w:rsidRPr="00DC0836">
        <w:rPr>
          <w:rStyle w:val="FontStyle38"/>
          <w:rFonts w:ascii="Times New Roman" w:hAnsi="Times New Roman" w:cs="Times New Roman"/>
          <w:sz w:val="24"/>
          <w:szCs w:val="24"/>
        </w:rPr>
        <w:t>When determining hate speech, most of the regulatory authorities use the case-law of the European Court of Human Rights and their domestic courts</w:t>
      </w:r>
      <w:r w:rsidRPr="00DC0836">
        <w:rPr>
          <w:rStyle w:val="FontStyle38"/>
          <w:rFonts w:ascii="Times New Roman" w:hAnsi="Times New Roman" w:cs="Times New Roman"/>
          <w:sz w:val="24"/>
          <w:szCs w:val="24"/>
          <w:lang w:val="mk-MK"/>
        </w:rPr>
        <w:t xml:space="preserve"> </w:t>
      </w:r>
      <w:r w:rsidRPr="00DC0836">
        <w:rPr>
          <w:rStyle w:val="FontStyle38"/>
          <w:rFonts w:ascii="Times New Roman" w:hAnsi="Times New Roman" w:cs="Times New Roman"/>
          <w:sz w:val="24"/>
          <w:szCs w:val="24"/>
        </w:rPr>
        <w:t xml:space="preserve">as their guiding principles. Several regulators have adopted their own guidelines integrated in the programme standards codes (Ofcom, Gibraltar). In a few countries the regulators cooperate with special bodies which determine whether a specific content published in the audiovisual media incites hate on various grounds (Inspector of Journalist Ethics in Poland and Lithuania, Inter-federal Center for Equal Opportunities in Belgium).      </w:t>
      </w:r>
    </w:p>
    <w:p w:rsidR="009962E3" w:rsidRPr="00DC0836" w:rsidRDefault="009962E3" w:rsidP="007F0901">
      <w:pPr>
        <w:numPr>
          <w:ilvl w:val="0"/>
          <w:numId w:val="45"/>
        </w:numPr>
        <w:spacing w:before="158"/>
        <w:jc w:val="both"/>
        <w:rPr>
          <w:rStyle w:val="FontStyle38"/>
          <w:rFonts w:ascii="Times New Roman" w:hAnsi="Times New Roman" w:cs="Times New Roman"/>
          <w:sz w:val="24"/>
          <w:szCs w:val="24"/>
        </w:rPr>
      </w:pPr>
      <w:r w:rsidRPr="00DC0836">
        <w:rPr>
          <w:rStyle w:val="FontStyle38"/>
          <w:rFonts w:ascii="Times New Roman" w:hAnsi="Times New Roman" w:cs="Times New Roman"/>
          <w:sz w:val="24"/>
          <w:szCs w:val="24"/>
        </w:rPr>
        <w:t>In the last two years, a significant number of regulators</w:t>
      </w:r>
      <w:r w:rsidRPr="00DC0836">
        <w:rPr>
          <w:rStyle w:val="FootnoteReference"/>
          <w:rFonts w:ascii="Times New Roman" w:hAnsi="Times New Roman"/>
          <w:sz w:val="24"/>
          <w:szCs w:val="24"/>
        </w:rPr>
        <w:footnoteReference w:id="28"/>
      </w:r>
      <w:r w:rsidRPr="00DC0836">
        <w:rPr>
          <w:rStyle w:val="FontStyle38"/>
          <w:rFonts w:ascii="Times New Roman" w:hAnsi="Times New Roman" w:cs="Times New Roman"/>
          <w:sz w:val="24"/>
          <w:szCs w:val="24"/>
        </w:rPr>
        <w:t xml:space="preserve"> have dealt with various cases of hate speech: gender discrimination, religious-fundamentalistic matters, anti-Semitic and xenophobic language, derogatory language against immigrants, language targeting LGBT population, Roma etc. </w:t>
      </w:r>
    </w:p>
    <w:p w:rsidR="009962E3" w:rsidRPr="00DC0836" w:rsidRDefault="009962E3" w:rsidP="007F0901">
      <w:pPr>
        <w:numPr>
          <w:ilvl w:val="0"/>
          <w:numId w:val="45"/>
        </w:numPr>
        <w:spacing w:before="158"/>
        <w:jc w:val="both"/>
        <w:rPr>
          <w:rStyle w:val="FontStyle38"/>
          <w:rFonts w:ascii="Times New Roman" w:hAnsi="Times New Roman" w:cs="Times New Roman"/>
          <w:sz w:val="24"/>
          <w:szCs w:val="24"/>
        </w:rPr>
      </w:pPr>
      <w:r w:rsidRPr="00DC0836">
        <w:rPr>
          <w:rStyle w:val="FontStyle38"/>
          <w:rFonts w:ascii="Times New Roman" w:hAnsi="Times New Roman" w:cs="Times New Roman"/>
          <w:sz w:val="24"/>
          <w:szCs w:val="24"/>
        </w:rPr>
        <w:t xml:space="preserve">Sanctions that the audiovisual regulators have at their disposal are various: warning, order to publish the findings of the regulator, order to issue correction, fines and, in very severe cases, decision to shorten or terminate the license.  </w:t>
      </w:r>
    </w:p>
    <w:p w:rsidR="009962E3" w:rsidRPr="00DC0836" w:rsidRDefault="009962E3" w:rsidP="007F0901">
      <w:pPr>
        <w:spacing w:before="158"/>
        <w:ind w:left="360"/>
        <w:jc w:val="both"/>
        <w:rPr>
          <w:rStyle w:val="FontStyle38"/>
          <w:rFonts w:ascii="Times New Roman" w:hAnsi="Times New Roman" w:cs="Times New Roman"/>
          <w:sz w:val="24"/>
          <w:szCs w:val="24"/>
        </w:rPr>
      </w:pPr>
      <w:r w:rsidRPr="00DC0836">
        <w:rPr>
          <w:rStyle w:val="FontStyle38"/>
          <w:rFonts w:ascii="Times New Roman" w:hAnsi="Times New Roman" w:cs="Times New Roman"/>
          <w:sz w:val="24"/>
          <w:szCs w:val="24"/>
        </w:rPr>
        <w:t xml:space="preserve">In the following paragraphs, the legislative framework and overview of practices of five regulators are presented in more details. In addition, relevant cases were selected to present how each regulator proceeded in determining hate speech and types of sanctions that were imposed.     </w:t>
      </w:r>
    </w:p>
    <w:p w:rsidR="009962E3" w:rsidRPr="00DC0836" w:rsidRDefault="009962E3" w:rsidP="007F0901">
      <w:pPr>
        <w:spacing w:before="158"/>
        <w:ind w:left="360" w:firstLine="720"/>
        <w:jc w:val="both"/>
        <w:rPr>
          <w:rStyle w:val="FontStyle38"/>
          <w:rFonts w:ascii="Times New Roman" w:hAnsi="Times New Roman" w:cs="Times New Roman"/>
          <w:sz w:val="24"/>
          <w:szCs w:val="24"/>
        </w:rPr>
      </w:pPr>
      <w:r w:rsidRPr="00DC0836">
        <w:rPr>
          <w:rStyle w:val="FontStyle38"/>
          <w:rFonts w:ascii="Times New Roman" w:hAnsi="Times New Roman" w:cs="Times New Roman"/>
          <w:sz w:val="24"/>
          <w:szCs w:val="24"/>
        </w:rPr>
        <w:t xml:space="preserve">    </w:t>
      </w:r>
    </w:p>
    <w:p w:rsidR="009962E3" w:rsidRPr="00DC0836" w:rsidRDefault="009962E3" w:rsidP="007F0901">
      <w:pPr>
        <w:numPr>
          <w:ilvl w:val="0"/>
          <w:numId w:val="42"/>
        </w:numPr>
        <w:spacing w:before="158"/>
        <w:ind w:left="360" w:firstLine="0"/>
        <w:rPr>
          <w:rStyle w:val="FontStyle38"/>
          <w:rFonts w:ascii="Times New Roman" w:hAnsi="Times New Roman" w:cs="Times New Roman"/>
          <w:b/>
          <w:sz w:val="24"/>
          <w:szCs w:val="24"/>
        </w:rPr>
      </w:pPr>
      <w:r w:rsidRPr="00DC0836">
        <w:rPr>
          <w:rFonts w:ascii="Times New Roman" w:hAnsi="Times New Roman" w:cs="Times New Roman"/>
          <w:b/>
          <w:sz w:val="24"/>
          <w:szCs w:val="24"/>
          <w:lang w:val="en-US"/>
        </w:rPr>
        <w:t>United Kingdom</w:t>
      </w:r>
      <w:r w:rsidRPr="00DC0836">
        <w:rPr>
          <w:rFonts w:ascii="Times New Roman" w:hAnsi="Times New Roman" w:cs="Times New Roman"/>
          <w:b/>
          <w:sz w:val="24"/>
          <w:szCs w:val="24"/>
        </w:rPr>
        <w:t xml:space="preserve">  </w:t>
      </w:r>
    </w:p>
    <w:p w:rsidR="009962E3" w:rsidRPr="00DC0836" w:rsidRDefault="009962E3" w:rsidP="007F0901">
      <w:pPr>
        <w:pStyle w:val="Style14"/>
        <w:widowControl/>
        <w:numPr>
          <w:ilvl w:val="1"/>
          <w:numId w:val="42"/>
        </w:numPr>
        <w:spacing w:before="158" w:line="276" w:lineRule="auto"/>
        <w:ind w:left="900" w:hanging="540"/>
        <w:rPr>
          <w:rStyle w:val="FontStyle38"/>
          <w:rFonts w:ascii="Times New Roman" w:hAnsi="Times New Roman"/>
          <w:i/>
          <w:sz w:val="24"/>
        </w:rPr>
      </w:pPr>
      <w:r w:rsidRPr="00DC0836">
        <w:rPr>
          <w:rStyle w:val="FontStyle38"/>
          <w:rFonts w:ascii="Times New Roman" w:hAnsi="Times New Roman"/>
          <w:i/>
          <w:sz w:val="24"/>
        </w:rPr>
        <w:t>Constitutional and legal framework</w:t>
      </w:r>
    </w:p>
    <w:p w:rsidR="009962E3" w:rsidRPr="00DC0836" w:rsidRDefault="009962E3" w:rsidP="007F0901">
      <w:pPr>
        <w:pStyle w:val="Style14"/>
        <w:widowControl/>
        <w:spacing w:before="158" w:line="276" w:lineRule="auto"/>
        <w:ind w:left="360" w:firstLine="0"/>
        <w:rPr>
          <w:rStyle w:val="FontStyle38"/>
          <w:rFonts w:ascii="Times New Roman" w:hAnsi="Times New Roman"/>
          <w:sz w:val="24"/>
        </w:rPr>
      </w:pPr>
      <w:r w:rsidRPr="00DC0836">
        <w:rPr>
          <w:rStyle w:val="FontStyle38"/>
          <w:rFonts w:ascii="Times New Roman" w:hAnsi="Times New Roman"/>
          <w:sz w:val="24"/>
        </w:rPr>
        <w:t>The three countries that are part of the main island of Great Britain have different legal systems. England and Wales share the same legal system, whereas Scotland’s legislation is quite different and administered by a separate judiciary</w:t>
      </w:r>
      <w:r w:rsidRPr="00DC0836">
        <w:rPr>
          <w:rStyle w:val="FootnoteReference"/>
          <w:rFonts w:ascii="Times New Roman" w:hAnsi="Times New Roman"/>
        </w:rPr>
        <w:footnoteReference w:id="29"/>
      </w:r>
      <w:r w:rsidRPr="00DC0836">
        <w:rPr>
          <w:rStyle w:val="FontStyle38"/>
          <w:rFonts w:ascii="Times New Roman" w:hAnsi="Times New Roman"/>
          <w:sz w:val="24"/>
        </w:rPr>
        <w:t xml:space="preserve">. </w:t>
      </w:r>
    </w:p>
    <w:p w:rsidR="009962E3" w:rsidRPr="00DC0836" w:rsidRDefault="009962E3" w:rsidP="007F0901">
      <w:pPr>
        <w:pStyle w:val="Style14"/>
        <w:widowControl/>
        <w:spacing w:before="158" w:line="276" w:lineRule="auto"/>
        <w:ind w:left="360" w:firstLine="0"/>
        <w:rPr>
          <w:rStyle w:val="FontStyle38"/>
          <w:rFonts w:ascii="Times New Roman" w:hAnsi="Times New Roman"/>
          <w:sz w:val="24"/>
        </w:rPr>
      </w:pPr>
      <w:r w:rsidRPr="00DC0836">
        <w:rPr>
          <w:rStyle w:val="FontStyle38"/>
          <w:rFonts w:ascii="Times New Roman" w:hAnsi="Times New Roman"/>
          <w:sz w:val="24"/>
        </w:rPr>
        <w:t xml:space="preserve">The United Kingdom does not have a codified constitution, but many aspects of the constitutional law can be found in the UK jurisprudence, the writings of leading commentators and the practice of the different branches of government. </w:t>
      </w:r>
    </w:p>
    <w:p w:rsidR="009962E3" w:rsidRPr="00DC0836" w:rsidRDefault="009962E3" w:rsidP="007F0901">
      <w:pPr>
        <w:pStyle w:val="Style14"/>
        <w:widowControl/>
        <w:spacing w:before="230" w:line="276" w:lineRule="auto"/>
        <w:ind w:left="360" w:firstLine="0"/>
        <w:rPr>
          <w:rStyle w:val="FontStyle38"/>
          <w:rFonts w:ascii="Times New Roman" w:hAnsi="Times New Roman"/>
          <w:sz w:val="24"/>
        </w:rPr>
      </w:pPr>
      <w:r w:rsidRPr="00DC0836">
        <w:rPr>
          <w:rStyle w:val="FontStyle38"/>
          <w:rFonts w:ascii="Times New Roman" w:hAnsi="Times New Roman"/>
          <w:sz w:val="24"/>
        </w:rPr>
        <w:t xml:space="preserve">The UK Criminal Law contains several acts dealing with racist offences: the </w:t>
      </w:r>
      <w:r w:rsidRPr="00DC0836">
        <w:rPr>
          <w:rStyle w:val="FontStyle38"/>
          <w:rFonts w:ascii="Times New Roman" w:hAnsi="Times New Roman"/>
          <w:i/>
          <w:sz w:val="24"/>
        </w:rPr>
        <w:t>Protection from Harassment Act</w:t>
      </w:r>
      <w:r w:rsidRPr="00DC0836">
        <w:rPr>
          <w:rStyle w:val="FontStyle38"/>
          <w:rFonts w:ascii="Times New Roman" w:hAnsi="Times New Roman"/>
          <w:sz w:val="24"/>
        </w:rPr>
        <w:t xml:space="preserve"> </w:t>
      </w:r>
      <w:r w:rsidRPr="00DC0836">
        <w:rPr>
          <w:rStyle w:val="FontStyle38"/>
          <w:rFonts w:ascii="Times New Roman" w:hAnsi="Times New Roman"/>
          <w:i/>
          <w:sz w:val="24"/>
        </w:rPr>
        <w:t>1997</w:t>
      </w:r>
      <w:r w:rsidRPr="00DC0836">
        <w:rPr>
          <w:rStyle w:val="FontStyle38"/>
          <w:rFonts w:ascii="Times New Roman" w:hAnsi="Times New Roman"/>
          <w:sz w:val="24"/>
        </w:rPr>
        <w:t xml:space="preserve"> which establishes the offence of harassment; the </w:t>
      </w:r>
      <w:r w:rsidRPr="00DC0836">
        <w:rPr>
          <w:rStyle w:val="FontStyle38"/>
          <w:rFonts w:ascii="Times New Roman" w:hAnsi="Times New Roman"/>
          <w:i/>
          <w:sz w:val="24"/>
        </w:rPr>
        <w:t>Public Order Act</w:t>
      </w:r>
      <w:r w:rsidRPr="00DC0836">
        <w:rPr>
          <w:rStyle w:val="FontStyle38"/>
          <w:rFonts w:ascii="Times New Roman" w:hAnsi="Times New Roman"/>
          <w:sz w:val="24"/>
        </w:rPr>
        <w:t xml:space="preserve"> (POA) </w:t>
      </w:r>
      <w:r w:rsidRPr="00DC0836">
        <w:rPr>
          <w:rStyle w:val="FontStyle38"/>
          <w:rFonts w:ascii="Times New Roman" w:hAnsi="Times New Roman"/>
          <w:i/>
          <w:sz w:val="24"/>
        </w:rPr>
        <w:t>1986</w:t>
      </w:r>
      <w:r w:rsidRPr="00DC0836">
        <w:rPr>
          <w:rStyle w:val="FontStyle38"/>
          <w:rFonts w:ascii="Times New Roman" w:hAnsi="Times New Roman"/>
          <w:sz w:val="24"/>
        </w:rPr>
        <w:t xml:space="preserve"> which also includes harassment offences based on insulting, abusive or threatening behavior; the </w:t>
      </w:r>
      <w:r w:rsidRPr="00DC0836">
        <w:rPr>
          <w:rStyle w:val="FontStyle38"/>
          <w:rFonts w:ascii="Times New Roman" w:hAnsi="Times New Roman"/>
          <w:i/>
          <w:sz w:val="24"/>
        </w:rPr>
        <w:t>Crime and Disorder Act 1998</w:t>
      </w:r>
      <w:r w:rsidRPr="00DC0836">
        <w:rPr>
          <w:rStyle w:val="FontStyle38"/>
          <w:rFonts w:ascii="Times New Roman" w:hAnsi="Times New Roman"/>
          <w:sz w:val="24"/>
        </w:rPr>
        <w:t xml:space="preserve"> which contains provisions on racially motivated forms of the offences of harassment.</w:t>
      </w:r>
    </w:p>
    <w:p w:rsidR="009962E3" w:rsidRPr="00DC0836" w:rsidRDefault="009962E3" w:rsidP="007F0901">
      <w:pPr>
        <w:pStyle w:val="Style14"/>
        <w:widowControl/>
        <w:spacing w:before="230" w:line="276" w:lineRule="auto"/>
        <w:ind w:left="360" w:firstLine="0"/>
        <w:rPr>
          <w:rStyle w:val="FontStyle38"/>
          <w:rFonts w:ascii="Times New Roman" w:hAnsi="Times New Roman"/>
          <w:sz w:val="24"/>
        </w:rPr>
      </w:pPr>
      <w:r w:rsidRPr="00DC0836">
        <w:rPr>
          <w:rStyle w:val="FontStyle38"/>
          <w:rFonts w:ascii="Times New Roman" w:hAnsi="Times New Roman"/>
          <w:sz w:val="24"/>
        </w:rPr>
        <w:t>Section 22 of the POA makes it an offence to include any programme involving visual images or sounds that are threatening, abusive or insulting within any broadcast or any cable television or radio service, if this is intended or likely to stir up racial hatred. This offence may be committed, simultaneously or separately, by the broadcaster or cable distributor, by any or all producers and directors of the programme and by the performers who are actually engaged in the offending conduct. Section 22 provides specialised</w:t>
      </w:r>
      <w:r w:rsidRPr="00DC0836">
        <w:rPr>
          <w:rStyle w:val="FontStyle38"/>
          <w:rFonts w:ascii="Times New Roman" w:hAnsi="Times New Roman"/>
          <w:sz w:val="24"/>
          <w:lang w:val="en-GB"/>
        </w:rPr>
        <w:t xml:space="preserve"> defences</w:t>
      </w:r>
      <w:r w:rsidRPr="00DC0836">
        <w:rPr>
          <w:rStyle w:val="FontStyle38"/>
          <w:rFonts w:ascii="Times New Roman" w:hAnsi="Times New Roman"/>
          <w:sz w:val="24"/>
        </w:rPr>
        <w:t xml:space="preserve"> for each of these possible categories of accused persons. Broadcasters and cable distributors will escape liability only if they prove that it was not reasonably practicable for them to remove the offensive  material from the programme.</w:t>
      </w:r>
    </w:p>
    <w:p w:rsidR="009962E3" w:rsidRPr="00DC0836" w:rsidRDefault="009962E3" w:rsidP="007F0901">
      <w:pPr>
        <w:pStyle w:val="Style11"/>
        <w:widowControl/>
        <w:ind w:left="5" w:hanging="5"/>
        <w:rPr>
          <w:rStyle w:val="FontStyle39"/>
          <w:rFonts w:ascii="Times New Roman" w:hAnsi="Times New Roman"/>
          <w:sz w:val="24"/>
        </w:rPr>
      </w:pPr>
    </w:p>
    <w:p w:rsidR="009962E3" w:rsidRPr="00DC0836" w:rsidRDefault="009962E3" w:rsidP="007F0901">
      <w:pPr>
        <w:pStyle w:val="Style11"/>
        <w:widowControl/>
        <w:spacing w:line="276" w:lineRule="auto"/>
        <w:ind w:left="360" w:hanging="5"/>
        <w:jc w:val="both"/>
        <w:rPr>
          <w:rStyle w:val="FontStyle38"/>
          <w:rFonts w:ascii="Times New Roman" w:hAnsi="Times New Roman"/>
          <w:sz w:val="24"/>
        </w:rPr>
      </w:pPr>
      <w:r w:rsidRPr="00DC0836">
        <w:rPr>
          <w:rStyle w:val="FontStyle38"/>
          <w:rFonts w:ascii="Times New Roman" w:hAnsi="Times New Roman"/>
          <w:sz w:val="24"/>
        </w:rPr>
        <w:t>In the UK Civil and Administrative Law t</w:t>
      </w:r>
      <w:r w:rsidRPr="00DC0836">
        <w:rPr>
          <w:rStyle w:val="FontStyle39"/>
          <w:rFonts w:ascii="Times New Roman" w:hAnsi="Times New Roman"/>
          <w:sz w:val="24"/>
        </w:rPr>
        <w:t>here are several acts that introduce norms with regard to discrimination: The Employment Equality (Religion or Belief) Regulations 2003, The Employment Equality (Sexual Orientation) Regulations 2003, the Disability Discrimination Act 1995 (Amendment) Regulations 2003, t</w:t>
      </w:r>
      <w:r w:rsidRPr="00DC0836">
        <w:rPr>
          <w:rStyle w:val="FontStyle38"/>
          <w:rFonts w:ascii="Times New Roman" w:hAnsi="Times New Roman"/>
          <w:sz w:val="24"/>
        </w:rPr>
        <w:t>he Race Relations Act 1976 and t</w:t>
      </w:r>
      <w:r w:rsidRPr="00DC0836">
        <w:rPr>
          <w:rStyle w:val="FontStyle39"/>
          <w:rFonts w:ascii="Times New Roman" w:hAnsi="Times New Roman"/>
          <w:sz w:val="24"/>
        </w:rPr>
        <w:t xml:space="preserve">he </w:t>
      </w:r>
      <w:r w:rsidRPr="00DC0836">
        <w:rPr>
          <w:rStyle w:val="FontStyle39"/>
          <w:rFonts w:ascii="Times New Roman" w:hAnsi="Times New Roman"/>
          <w:i/>
          <w:sz w:val="24"/>
        </w:rPr>
        <w:t>Human Rights Act</w:t>
      </w:r>
      <w:r w:rsidRPr="00DC0836">
        <w:rPr>
          <w:rStyle w:val="FontStyle39"/>
          <w:rFonts w:ascii="Times New Roman" w:hAnsi="Times New Roman"/>
          <w:sz w:val="24"/>
        </w:rPr>
        <w:t xml:space="preserve"> 1998</w:t>
      </w:r>
      <w:r w:rsidRPr="00DC0836">
        <w:rPr>
          <w:rStyle w:val="FontStyle38"/>
          <w:rFonts w:ascii="Times New Roman" w:hAnsi="Times New Roman"/>
          <w:sz w:val="24"/>
        </w:rPr>
        <w:t xml:space="preserve">. </w:t>
      </w:r>
    </w:p>
    <w:p w:rsidR="009962E3" w:rsidRPr="00DC0836" w:rsidRDefault="009962E3" w:rsidP="007F0901">
      <w:pPr>
        <w:pStyle w:val="Style11"/>
        <w:widowControl/>
        <w:spacing w:line="276" w:lineRule="auto"/>
        <w:ind w:left="360" w:hanging="5"/>
        <w:jc w:val="both"/>
        <w:rPr>
          <w:rStyle w:val="FontStyle38"/>
          <w:rFonts w:ascii="Times New Roman" w:hAnsi="Times New Roman"/>
          <w:sz w:val="24"/>
        </w:rPr>
      </w:pPr>
    </w:p>
    <w:p w:rsidR="009962E3" w:rsidRPr="00DC0836" w:rsidRDefault="009962E3" w:rsidP="007F0901">
      <w:pPr>
        <w:pStyle w:val="Style11"/>
        <w:widowControl/>
        <w:spacing w:line="276" w:lineRule="auto"/>
        <w:ind w:left="360" w:hanging="5"/>
        <w:jc w:val="both"/>
        <w:rPr>
          <w:rStyle w:val="FontStyle38"/>
          <w:rFonts w:ascii="Times New Roman" w:hAnsi="Times New Roman"/>
          <w:sz w:val="24"/>
        </w:rPr>
      </w:pPr>
      <w:r w:rsidRPr="00DC0836">
        <w:rPr>
          <w:rStyle w:val="FontStyle38"/>
          <w:rFonts w:ascii="Times New Roman" w:hAnsi="Times New Roman"/>
          <w:sz w:val="24"/>
        </w:rPr>
        <w:t xml:space="preserve">The Human Rights Act (HRA) incorporates the European Convention on Human Rights ("ECHR") into UK law. It provides that all legislation (past and future) is to be read and given effect as far as possible in a manner which is compatible with the ECHR. </w:t>
      </w:r>
    </w:p>
    <w:p w:rsidR="009962E3" w:rsidRPr="00DC0836" w:rsidRDefault="009962E3" w:rsidP="007F0901">
      <w:pPr>
        <w:pStyle w:val="Style11"/>
        <w:widowControl/>
        <w:spacing w:line="276" w:lineRule="auto"/>
        <w:ind w:left="360" w:hanging="5"/>
        <w:jc w:val="both"/>
        <w:rPr>
          <w:rStyle w:val="FontStyle38"/>
          <w:rFonts w:ascii="Times New Roman" w:hAnsi="Times New Roman"/>
          <w:sz w:val="24"/>
        </w:rPr>
      </w:pPr>
    </w:p>
    <w:p w:rsidR="009962E3" w:rsidRPr="00DC0836" w:rsidRDefault="009962E3" w:rsidP="007F0901">
      <w:pPr>
        <w:autoSpaceDE w:val="0"/>
        <w:autoSpaceDN w:val="0"/>
        <w:adjustRightInd w:val="0"/>
        <w:spacing w:after="0"/>
        <w:ind w:left="360"/>
        <w:jc w:val="both"/>
        <w:rPr>
          <w:rFonts w:ascii="Times New Roman" w:hAnsi="Times New Roman" w:cs="Times New Roman"/>
          <w:color w:val="000000"/>
          <w:sz w:val="24"/>
          <w:szCs w:val="24"/>
          <w:lang w:val="mk-MK"/>
        </w:rPr>
      </w:pPr>
      <w:r w:rsidRPr="00DC0836">
        <w:rPr>
          <w:rFonts w:ascii="Times New Roman" w:hAnsi="Times New Roman" w:cs="Times New Roman"/>
          <w:color w:val="000000"/>
          <w:sz w:val="24"/>
          <w:szCs w:val="24"/>
          <w:lang w:val="en-US"/>
        </w:rPr>
        <w:t xml:space="preserve">The UK broadcasting sector is subject to a more detailed regulation, while the press and online media are self-regulated. The main legislative document on broadcasting is the 2003 </w:t>
      </w:r>
      <w:r w:rsidRPr="00DC0836">
        <w:rPr>
          <w:rFonts w:ascii="Times New Roman" w:hAnsi="Times New Roman" w:cs="Times New Roman"/>
          <w:i/>
          <w:iCs/>
          <w:color w:val="000000"/>
          <w:sz w:val="24"/>
          <w:szCs w:val="24"/>
          <w:lang w:val="en-US"/>
        </w:rPr>
        <w:t>Communications Act</w:t>
      </w:r>
      <w:r w:rsidRPr="00DC0836">
        <w:rPr>
          <w:rFonts w:ascii="Times New Roman" w:hAnsi="Times New Roman" w:cs="Times New Roman"/>
          <w:color w:val="000000"/>
          <w:sz w:val="24"/>
          <w:szCs w:val="24"/>
          <w:lang w:val="en-US"/>
        </w:rPr>
        <w:t xml:space="preserve">, which regulates both broadcast content and telecommunications. Besides the </w:t>
      </w:r>
      <w:r w:rsidRPr="00DC0836">
        <w:rPr>
          <w:rFonts w:ascii="Times New Roman" w:hAnsi="Times New Roman" w:cs="Times New Roman"/>
          <w:i/>
          <w:iCs/>
          <w:color w:val="000000"/>
          <w:sz w:val="24"/>
          <w:szCs w:val="24"/>
          <w:lang w:val="en-US"/>
        </w:rPr>
        <w:t>Communications Act,</w:t>
      </w:r>
      <w:r w:rsidRPr="00DC0836">
        <w:rPr>
          <w:rFonts w:ascii="Times New Roman" w:hAnsi="Times New Roman" w:cs="Times New Roman"/>
          <w:color w:val="000000"/>
          <w:sz w:val="24"/>
          <w:szCs w:val="24"/>
          <w:lang w:val="en-US"/>
        </w:rPr>
        <w:t xml:space="preserve"> provisions of the </w:t>
      </w:r>
      <w:r w:rsidRPr="00DC0836">
        <w:rPr>
          <w:rFonts w:ascii="Times New Roman" w:hAnsi="Times New Roman" w:cs="Times New Roman"/>
          <w:i/>
          <w:iCs/>
          <w:color w:val="000000"/>
          <w:sz w:val="24"/>
          <w:szCs w:val="24"/>
          <w:lang w:val="en-US"/>
        </w:rPr>
        <w:t xml:space="preserve">Broadcasting Acts </w:t>
      </w:r>
      <w:r w:rsidRPr="00DC0836">
        <w:rPr>
          <w:rFonts w:ascii="Times New Roman" w:hAnsi="Times New Roman" w:cs="Times New Roman"/>
          <w:color w:val="000000"/>
          <w:sz w:val="24"/>
          <w:szCs w:val="24"/>
          <w:lang w:val="en-US"/>
        </w:rPr>
        <w:t>1990</w:t>
      </w:r>
      <w:r w:rsidRPr="00DC0836">
        <w:rPr>
          <w:rFonts w:ascii="Times New Roman" w:hAnsi="Times New Roman" w:cs="Times New Roman"/>
          <w:i/>
          <w:iCs/>
          <w:color w:val="000000"/>
          <w:sz w:val="24"/>
          <w:szCs w:val="24"/>
          <w:lang w:val="en-US"/>
        </w:rPr>
        <w:t xml:space="preserve"> </w:t>
      </w:r>
      <w:r w:rsidRPr="00DC0836">
        <w:rPr>
          <w:rFonts w:ascii="Times New Roman" w:hAnsi="Times New Roman" w:cs="Times New Roman"/>
          <w:color w:val="000000"/>
          <w:sz w:val="24"/>
          <w:szCs w:val="24"/>
          <w:lang w:val="en-US"/>
        </w:rPr>
        <w:t>and 1996 are still relevant. The three regulatory bodies which previously dealt with content issues (the Independent Television Commission (ITC), the Radio Authority (RA) and the Broadcasting Standards Commission (BSC)) have been merged (together with the spectrum agency RCA and the telecom regulator</w:t>
      </w:r>
      <w:r w:rsidRPr="00DC0836">
        <w:rPr>
          <w:rFonts w:ascii="Times New Roman" w:hAnsi="Times New Roman" w:cs="Times New Roman"/>
          <w:color w:val="000000"/>
          <w:sz w:val="24"/>
          <w:szCs w:val="24"/>
        </w:rPr>
        <w:t xml:space="preserve"> Oftel</w:t>
      </w:r>
      <w:r w:rsidRPr="00DC0836">
        <w:rPr>
          <w:rFonts w:ascii="Times New Roman" w:hAnsi="Times New Roman" w:cs="Times New Roman"/>
          <w:color w:val="000000"/>
          <w:sz w:val="24"/>
          <w:szCs w:val="24"/>
          <w:lang w:val="en-US"/>
        </w:rPr>
        <w:t xml:space="preserve">) into one body: Ofcom. Consequently, statutory regulation of the UK broadcasting sector is performed by </w:t>
      </w:r>
      <w:r w:rsidRPr="00DC0836">
        <w:rPr>
          <w:rFonts w:ascii="Times New Roman" w:hAnsi="Times New Roman" w:cs="Times New Roman"/>
          <w:color w:val="000000"/>
          <w:sz w:val="24"/>
          <w:szCs w:val="24"/>
          <w:shd w:val="clear" w:color="auto" w:fill="FFFFFF"/>
        </w:rPr>
        <w:t xml:space="preserve">OFCOM, which is a converged regulatory body for both telecommunications and broadcasting. </w:t>
      </w:r>
      <w:r w:rsidRPr="00DC0836">
        <w:rPr>
          <w:rFonts w:ascii="Times New Roman" w:hAnsi="Times New Roman" w:cs="Times New Roman"/>
          <w:color w:val="000000"/>
          <w:sz w:val="24"/>
          <w:szCs w:val="24"/>
          <w:lang w:val="en-US"/>
        </w:rPr>
        <w:t xml:space="preserve">The </w:t>
      </w:r>
      <w:r w:rsidRPr="00DC0836">
        <w:rPr>
          <w:rFonts w:ascii="Times New Roman" w:hAnsi="Times New Roman" w:cs="Times New Roman"/>
          <w:i/>
          <w:iCs/>
          <w:color w:val="000000"/>
          <w:sz w:val="24"/>
          <w:szCs w:val="24"/>
          <w:lang w:val="en-US"/>
        </w:rPr>
        <w:t>Communications Act</w:t>
      </w:r>
      <w:r w:rsidRPr="00DC0836">
        <w:rPr>
          <w:rFonts w:ascii="Times New Roman" w:hAnsi="Times New Roman" w:cs="Times New Roman"/>
          <w:color w:val="000000"/>
          <w:sz w:val="24"/>
          <w:szCs w:val="24"/>
          <w:lang w:val="en-US"/>
        </w:rPr>
        <w:t xml:space="preserve"> makes it clear that Ofcom has no remit over Internet content in general.</w:t>
      </w:r>
    </w:p>
    <w:p w:rsidR="009962E3" w:rsidRPr="00DC0836" w:rsidRDefault="009962E3" w:rsidP="007F0901">
      <w:pPr>
        <w:autoSpaceDE w:val="0"/>
        <w:autoSpaceDN w:val="0"/>
        <w:adjustRightInd w:val="0"/>
        <w:spacing w:after="0"/>
        <w:ind w:left="360"/>
        <w:jc w:val="both"/>
        <w:rPr>
          <w:rFonts w:ascii="Times New Roman" w:hAnsi="Times New Roman" w:cs="Times New Roman"/>
          <w:color w:val="000000"/>
          <w:sz w:val="24"/>
          <w:szCs w:val="24"/>
          <w:shd w:val="clear" w:color="auto" w:fill="FFFFFF"/>
        </w:rPr>
      </w:pPr>
    </w:p>
    <w:p w:rsidR="009962E3" w:rsidRPr="00DC0836" w:rsidRDefault="009962E3" w:rsidP="007F0901">
      <w:pPr>
        <w:autoSpaceDE w:val="0"/>
        <w:autoSpaceDN w:val="0"/>
        <w:adjustRightInd w:val="0"/>
        <w:spacing w:after="0"/>
        <w:ind w:left="360"/>
        <w:jc w:val="both"/>
        <w:rPr>
          <w:rFonts w:ascii="Times New Roman" w:hAnsi="Times New Roman" w:cs="Times New Roman"/>
          <w:color w:val="000000"/>
          <w:sz w:val="24"/>
          <w:szCs w:val="24"/>
          <w:shd w:val="clear" w:color="auto" w:fill="FFFFFF"/>
        </w:rPr>
      </w:pPr>
    </w:p>
    <w:p w:rsidR="009962E3" w:rsidRPr="00DC0836" w:rsidRDefault="009962E3" w:rsidP="007F0901">
      <w:pPr>
        <w:pStyle w:val="Style14"/>
        <w:widowControl/>
        <w:numPr>
          <w:ilvl w:val="1"/>
          <w:numId w:val="42"/>
        </w:numPr>
        <w:spacing w:before="158" w:line="276" w:lineRule="auto"/>
        <w:rPr>
          <w:rStyle w:val="FontStyle38"/>
          <w:rFonts w:ascii="Times New Roman" w:hAnsi="Times New Roman"/>
          <w:i/>
          <w:sz w:val="24"/>
        </w:rPr>
      </w:pPr>
      <w:r w:rsidRPr="00DC0836">
        <w:rPr>
          <w:rStyle w:val="FontStyle38"/>
          <w:rFonts w:ascii="Times New Roman" w:hAnsi="Times New Roman"/>
          <w:i/>
          <w:sz w:val="24"/>
        </w:rPr>
        <w:t xml:space="preserve">Ofcom powers and practices related to hate speech </w:t>
      </w:r>
    </w:p>
    <w:p w:rsidR="009962E3" w:rsidRPr="00DC0836" w:rsidRDefault="009962E3" w:rsidP="007F0901">
      <w:pPr>
        <w:autoSpaceDE w:val="0"/>
        <w:autoSpaceDN w:val="0"/>
        <w:adjustRightInd w:val="0"/>
        <w:spacing w:after="0"/>
        <w:ind w:left="360"/>
        <w:jc w:val="both"/>
        <w:rPr>
          <w:rFonts w:ascii="Times New Roman" w:hAnsi="Times New Roman" w:cs="Times New Roman"/>
          <w:color w:val="000000"/>
          <w:sz w:val="24"/>
          <w:szCs w:val="24"/>
          <w:lang w:val="en-US"/>
        </w:rPr>
      </w:pPr>
    </w:p>
    <w:p w:rsidR="009962E3" w:rsidRPr="00DC0836" w:rsidRDefault="009962E3" w:rsidP="007F0901">
      <w:pPr>
        <w:autoSpaceDE w:val="0"/>
        <w:autoSpaceDN w:val="0"/>
        <w:adjustRightInd w:val="0"/>
        <w:spacing w:after="0"/>
        <w:ind w:left="360"/>
        <w:jc w:val="both"/>
        <w:rPr>
          <w:rFonts w:ascii="Times New Roman" w:hAnsi="Times New Roman" w:cs="Times New Roman"/>
          <w:sz w:val="24"/>
          <w:szCs w:val="24"/>
          <w:lang w:val="en-US"/>
        </w:rPr>
      </w:pPr>
      <w:r w:rsidRPr="00DC0836">
        <w:rPr>
          <w:rFonts w:ascii="Times New Roman" w:hAnsi="Times New Roman" w:cs="Times New Roman"/>
          <w:color w:val="000000"/>
          <w:sz w:val="24"/>
          <w:szCs w:val="24"/>
          <w:lang w:val="en-US"/>
        </w:rPr>
        <w:t xml:space="preserve">Ofcom regulates the independent television services in accordance with the terms of the Communications Act and the 1990 and 1996 Broadcasting Acts, respectively. Section 319 of the Communications Act requires Ofcom to produce Standards Codes, as well as to review and revise such standards for the content of programmes to be included in television and radio services. </w:t>
      </w:r>
      <w:r w:rsidRPr="00DC0836">
        <w:rPr>
          <w:rFonts w:ascii="Times New Roman" w:hAnsi="Times New Roman" w:cs="Times New Roman"/>
          <w:sz w:val="24"/>
          <w:szCs w:val="24"/>
          <w:lang w:val="en-US"/>
        </w:rPr>
        <w:t>Section Three of the Broadcasting Code</w:t>
      </w:r>
      <w:r w:rsidRPr="00DC0836">
        <w:rPr>
          <w:rStyle w:val="FootnoteReference"/>
          <w:rFonts w:ascii="Times New Roman" w:hAnsi="Times New Roman"/>
          <w:sz w:val="24"/>
          <w:szCs w:val="24"/>
        </w:rPr>
        <w:footnoteReference w:id="30"/>
      </w:r>
      <w:r w:rsidRPr="00DC0836">
        <w:rPr>
          <w:rFonts w:ascii="Times New Roman" w:hAnsi="Times New Roman" w:cs="Times New Roman"/>
          <w:sz w:val="24"/>
          <w:szCs w:val="24"/>
          <w:lang w:val="en-US"/>
        </w:rPr>
        <w:t xml:space="preserve"> introduces standards related to Crime. Rule 3.1 stipulates that: “Material likely to encourage or incite the commission of a crime or to lead to disorder must not be included in television or radio services.”</w:t>
      </w:r>
    </w:p>
    <w:p w:rsidR="009962E3" w:rsidRPr="00DC0836" w:rsidRDefault="009962E3" w:rsidP="007F0901">
      <w:pPr>
        <w:autoSpaceDE w:val="0"/>
        <w:autoSpaceDN w:val="0"/>
        <w:adjustRightInd w:val="0"/>
        <w:spacing w:after="0"/>
        <w:ind w:left="360"/>
        <w:jc w:val="both"/>
        <w:rPr>
          <w:rFonts w:ascii="Times New Roman" w:hAnsi="Times New Roman" w:cs="Times New Roman"/>
          <w:sz w:val="24"/>
          <w:szCs w:val="24"/>
          <w:lang w:val="en-US"/>
        </w:rPr>
      </w:pPr>
    </w:p>
    <w:p w:rsidR="009962E3" w:rsidRPr="00DC0836" w:rsidRDefault="009962E3" w:rsidP="007F0901">
      <w:pPr>
        <w:autoSpaceDE w:val="0"/>
        <w:autoSpaceDN w:val="0"/>
        <w:adjustRightInd w:val="0"/>
        <w:spacing w:after="0"/>
        <w:ind w:left="36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In addition to its authorization to produce standards codes, Ofcom also develops Guidelines aimed at assisting broadcasters in interpreting and applying the Broadcasting Code. In the Guidelines on Section 3 – Crime</w:t>
      </w:r>
      <w:r w:rsidRPr="00DC0836">
        <w:rPr>
          <w:rStyle w:val="FootnoteReference"/>
          <w:rFonts w:ascii="Times New Roman" w:hAnsi="Times New Roman"/>
          <w:sz w:val="24"/>
          <w:szCs w:val="24"/>
        </w:rPr>
        <w:footnoteReference w:id="31"/>
      </w:r>
      <w:r w:rsidRPr="00DC0836">
        <w:rPr>
          <w:rFonts w:ascii="Times New Roman" w:hAnsi="Times New Roman" w:cs="Times New Roman"/>
          <w:sz w:val="24"/>
          <w:szCs w:val="24"/>
          <w:lang w:val="en-US"/>
        </w:rPr>
        <w:t xml:space="preserve">, more detailed explanation is given regarding the Rule 3.1: “‘crime’ relates to offences under criminal law punishable by a fine or imprisonment. ‘Disorder’ may relate to the criminal offence of civil disorder or may be more generic, including acts that might lead to or provoke the commission of crime.” </w:t>
      </w:r>
    </w:p>
    <w:p w:rsidR="009962E3" w:rsidRPr="00DC0836" w:rsidRDefault="009962E3" w:rsidP="007F0901">
      <w:pPr>
        <w:autoSpaceDE w:val="0"/>
        <w:autoSpaceDN w:val="0"/>
        <w:adjustRightInd w:val="0"/>
        <w:spacing w:after="0"/>
        <w:ind w:left="360"/>
        <w:jc w:val="both"/>
        <w:rPr>
          <w:rFonts w:ascii="Times New Roman" w:hAnsi="Times New Roman" w:cs="Times New Roman"/>
          <w:sz w:val="24"/>
          <w:szCs w:val="24"/>
          <w:lang w:val="en-US"/>
        </w:rPr>
      </w:pPr>
    </w:p>
    <w:p w:rsidR="009962E3" w:rsidRPr="00DC0836" w:rsidRDefault="009962E3" w:rsidP="007F0901">
      <w:pPr>
        <w:tabs>
          <w:tab w:val="left" w:pos="360"/>
        </w:tabs>
        <w:autoSpaceDE w:val="0"/>
        <w:autoSpaceDN w:val="0"/>
        <w:adjustRightInd w:val="0"/>
        <w:spacing w:after="0"/>
        <w:ind w:left="36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Ofcom has adopted detailed procedures for investigating breaches of content standards for television and radio</w:t>
      </w:r>
      <w:r w:rsidRPr="00DC0836">
        <w:rPr>
          <w:rStyle w:val="FootnoteReference"/>
          <w:rFonts w:ascii="Times New Roman" w:hAnsi="Times New Roman"/>
          <w:sz w:val="24"/>
          <w:szCs w:val="24"/>
        </w:rPr>
        <w:footnoteReference w:id="32"/>
      </w:r>
      <w:r w:rsidRPr="00DC0836">
        <w:rPr>
          <w:rFonts w:ascii="Times New Roman" w:hAnsi="Times New Roman" w:cs="Times New Roman"/>
          <w:sz w:val="24"/>
          <w:szCs w:val="24"/>
          <w:lang w:val="en-US"/>
        </w:rPr>
        <w:t xml:space="preserve">. Ofcom may launch investigations on its own initiative as well as investigate complaints. The procedures in a complaint-led investigation and an Ofcom-initiated investigation are the same. In the first case, Ofcom will first consider whether a complaint raises potentially substantive issues under the Code, by reference to the gravity and/or extent of the matter complained of. If Ofcom considers that it should assess the matter further, it may ask the broadcaster for a copy of the relevant programme, which must be provided within five working days. Based on an initial assessment of the complaint and a review of the relevant content, Ofcom will consider whether there may have been a breach of particular provisions of the Code. If not, Ofcom will decide not to investigate further and will publish its decision in its Broadcast Bulletin. The initial assessment has to be completed within 15 days. </w:t>
      </w:r>
    </w:p>
    <w:p w:rsidR="009962E3" w:rsidRPr="00DC0836" w:rsidRDefault="009962E3" w:rsidP="007F0901">
      <w:pPr>
        <w:tabs>
          <w:tab w:val="left" w:pos="360"/>
        </w:tabs>
        <w:autoSpaceDE w:val="0"/>
        <w:autoSpaceDN w:val="0"/>
        <w:adjustRightInd w:val="0"/>
        <w:spacing w:after="0"/>
        <w:ind w:left="360"/>
        <w:jc w:val="both"/>
        <w:rPr>
          <w:rFonts w:ascii="Times New Roman" w:hAnsi="Times New Roman" w:cs="Times New Roman"/>
          <w:sz w:val="24"/>
          <w:szCs w:val="24"/>
          <w:lang w:val="en-US"/>
        </w:rPr>
      </w:pPr>
    </w:p>
    <w:p w:rsidR="009962E3" w:rsidRPr="00DC0836" w:rsidRDefault="009962E3" w:rsidP="007F0901">
      <w:pPr>
        <w:tabs>
          <w:tab w:val="left" w:pos="360"/>
        </w:tabs>
        <w:autoSpaceDE w:val="0"/>
        <w:autoSpaceDN w:val="0"/>
        <w:adjustRightInd w:val="0"/>
        <w:spacing w:after="0"/>
        <w:ind w:left="36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 xml:space="preserve">In case of an opened investigation, Ofcom will summarize the material parts of the complaint/case, set out the relevant provisions of the Code and invite the broadcaster to make representations in response and file an appeal (and provide any relevant evidence in support) within 10 working days. It will also publish details on the programmes under investigation on its website. Ofcom aims to complete the cases under investigation within 50 working days. </w:t>
      </w:r>
    </w:p>
    <w:p w:rsidR="009962E3" w:rsidRPr="00DC0836" w:rsidRDefault="009962E3" w:rsidP="007F0901">
      <w:pPr>
        <w:tabs>
          <w:tab w:val="left" w:pos="360"/>
        </w:tabs>
        <w:autoSpaceDE w:val="0"/>
        <w:autoSpaceDN w:val="0"/>
        <w:adjustRightInd w:val="0"/>
        <w:spacing w:after="0"/>
        <w:ind w:left="360"/>
        <w:jc w:val="both"/>
        <w:rPr>
          <w:rFonts w:ascii="Times New Roman" w:hAnsi="Times New Roman" w:cs="Times New Roman"/>
          <w:sz w:val="24"/>
          <w:szCs w:val="24"/>
          <w:lang w:val="en-US"/>
        </w:rPr>
      </w:pPr>
    </w:p>
    <w:p w:rsidR="009962E3" w:rsidRPr="00DC0836" w:rsidRDefault="009962E3" w:rsidP="007F0901">
      <w:pPr>
        <w:tabs>
          <w:tab w:val="left" w:pos="360"/>
        </w:tabs>
        <w:autoSpaceDE w:val="0"/>
        <w:autoSpaceDN w:val="0"/>
        <w:adjustRightInd w:val="0"/>
        <w:spacing w:after="0"/>
        <w:ind w:left="36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On receipt of the broadcaster’s representations, Ofcom prepares its preliminary view which is only provisional and may be subject to change in the light of subsequent submissions by the broadcaster. This preliminary view contains:</w:t>
      </w:r>
    </w:p>
    <w:p w:rsidR="009962E3" w:rsidRPr="00DC0836" w:rsidRDefault="009962E3" w:rsidP="007F0901">
      <w:pPr>
        <w:numPr>
          <w:ilvl w:val="0"/>
          <w:numId w:val="46"/>
        </w:numPr>
        <w:tabs>
          <w:tab w:val="left" w:pos="360"/>
        </w:tabs>
        <w:autoSpaceDE w:val="0"/>
        <w:autoSpaceDN w:val="0"/>
        <w:adjustRightInd w:val="0"/>
        <w:spacing w:after="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a summary of the case;</w:t>
      </w:r>
    </w:p>
    <w:p w:rsidR="009962E3" w:rsidRPr="00DC0836" w:rsidRDefault="009962E3" w:rsidP="007F0901">
      <w:pPr>
        <w:numPr>
          <w:ilvl w:val="0"/>
          <w:numId w:val="46"/>
        </w:numPr>
        <w:tabs>
          <w:tab w:val="left" w:pos="360"/>
        </w:tabs>
        <w:autoSpaceDE w:val="0"/>
        <w:autoSpaceDN w:val="0"/>
        <w:adjustRightInd w:val="0"/>
        <w:spacing w:after="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a summary of the parts of the programme to which the case relates;</w:t>
      </w:r>
    </w:p>
    <w:p w:rsidR="009962E3" w:rsidRPr="00DC0836" w:rsidRDefault="009962E3" w:rsidP="007F0901">
      <w:pPr>
        <w:numPr>
          <w:ilvl w:val="0"/>
          <w:numId w:val="46"/>
        </w:numPr>
        <w:tabs>
          <w:tab w:val="left" w:pos="360"/>
        </w:tabs>
        <w:autoSpaceDE w:val="0"/>
        <w:autoSpaceDN w:val="0"/>
        <w:adjustRightInd w:val="0"/>
        <w:spacing w:after="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relevant provisions of the Broadcasting Code applicable to the case;</w:t>
      </w:r>
    </w:p>
    <w:p w:rsidR="009962E3" w:rsidRPr="00DC0836" w:rsidRDefault="009962E3" w:rsidP="007F0901">
      <w:pPr>
        <w:numPr>
          <w:ilvl w:val="0"/>
          <w:numId w:val="46"/>
        </w:numPr>
        <w:tabs>
          <w:tab w:val="left" w:pos="360"/>
        </w:tabs>
        <w:autoSpaceDE w:val="0"/>
        <w:autoSpaceDN w:val="0"/>
        <w:adjustRightInd w:val="0"/>
        <w:spacing w:after="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 xml:space="preserve">Ofcom’s preliminary assessment on the breaches of those provisions and justification for this assessment. </w:t>
      </w:r>
    </w:p>
    <w:p w:rsidR="009962E3" w:rsidRPr="00DC0836" w:rsidRDefault="009962E3" w:rsidP="007F0901">
      <w:pPr>
        <w:tabs>
          <w:tab w:val="left" w:pos="360"/>
        </w:tabs>
        <w:autoSpaceDE w:val="0"/>
        <w:autoSpaceDN w:val="0"/>
        <w:adjustRightInd w:val="0"/>
        <w:spacing w:after="0"/>
        <w:jc w:val="both"/>
        <w:rPr>
          <w:rFonts w:ascii="Times New Roman" w:hAnsi="Times New Roman" w:cs="Times New Roman"/>
          <w:color w:val="444444"/>
          <w:sz w:val="24"/>
          <w:szCs w:val="24"/>
          <w:lang w:val="en-US"/>
        </w:rPr>
      </w:pPr>
    </w:p>
    <w:p w:rsidR="009962E3" w:rsidRPr="00DC0836" w:rsidRDefault="009962E3" w:rsidP="007F0901">
      <w:pPr>
        <w:tabs>
          <w:tab w:val="left" w:pos="360"/>
        </w:tabs>
        <w:autoSpaceDE w:val="0"/>
        <w:autoSpaceDN w:val="0"/>
        <w:adjustRightInd w:val="0"/>
        <w:spacing w:after="0"/>
        <w:ind w:left="36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 xml:space="preserve">The broadcaster is requested to give its official reply related to the preliminary view within 10 working days.  Ofcom will reach its final decision taking into consideration the broadcaster’s representation of the case. The broadcaster is provided with a copy of the decision (for factual corrections only) before it is published in the Broadcast Bulletin and on the website.    </w:t>
      </w:r>
    </w:p>
    <w:p w:rsidR="009962E3" w:rsidRPr="00DC0836" w:rsidRDefault="009962E3" w:rsidP="007F0901">
      <w:pPr>
        <w:tabs>
          <w:tab w:val="left" w:pos="360"/>
        </w:tabs>
        <w:autoSpaceDE w:val="0"/>
        <w:autoSpaceDN w:val="0"/>
        <w:adjustRightInd w:val="0"/>
        <w:spacing w:after="0"/>
        <w:ind w:left="360"/>
        <w:jc w:val="both"/>
        <w:rPr>
          <w:rFonts w:ascii="Times New Roman" w:hAnsi="Times New Roman" w:cs="Times New Roman"/>
          <w:sz w:val="24"/>
          <w:szCs w:val="24"/>
          <w:lang w:val="en-US"/>
        </w:rPr>
      </w:pPr>
    </w:p>
    <w:p w:rsidR="009962E3" w:rsidRPr="00DC0836" w:rsidRDefault="009962E3" w:rsidP="007F0901">
      <w:pPr>
        <w:tabs>
          <w:tab w:val="left" w:pos="360"/>
        </w:tabs>
        <w:autoSpaceDE w:val="0"/>
        <w:autoSpaceDN w:val="0"/>
        <w:adjustRightInd w:val="0"/>
        <w:spacing w:after="0"/>
        <w:ind w:left="36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 xml:space="preserve">In general, Ofcom has powers to impose statutory sanctions if the breaches of the Broadcasting Code or Licence Conditions are: serious, deliberate, repeated and reckless. There are several possible penalties that can be imposed: Direction not to repeat a programme; Direction to broadcast a correction/statement of Ofcom’s findings; Shortening or suspension of a licence (only applicable to certain types of licence); Fine and revocation of licence. According to Section 239 of the Communications Act 2003, for very serious cases of hate speech, Ofcom has powers to immediately suspend a license. There have been several cases where OFCOM has intervened: </w:t>
      </w:r>
    </w:p>
    <w:p w:rsidR="009962E3" w:rsidRPr="00DC0836" w:rsidRDefault="009962E3" w:rsidP="007F0901">
      <w:pPr>
        <w:numPr>
          <w:ilvl w:val="0"/>
          <w:numId w:val="43"/>
        </w:numPr>
        <w:tabs>
          <w:tab w:val="left" w:pos="360"/>
        </w:tabs>
        <w:autoSpaceDE w:val="0"/>
        <w:autoSpaceDN w:val="0"/>
        <w:adjustRightInd w:val="0"/>
        <w:spacing w:after="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 xml:space="preserve">Radio Asian Fever (November 2011) – against a small community radio station in Northern England, for broadcasting language that was likely to encourage violent behaviour against homosexuals; </w:t>
      </w:r>
    </w:p>
    <w:p w:rsidR="009962E3" w:rsidRPr="00DC0836" w:rsidRDefault="009962E3" w:rsidP="007F0901">
      <w:pPr>
        <w:numPr>
          <w:ilvl w:val="0"/>
          <w:numId w:val="43"/>
        </w:numPr>
        <w:tabs>
          <w:tab w:val="left" w:pos="360"/>
        </w:tabs>
        <w:autoSpaceDE w:val="0"/>
        <w:autoSpaceDN w:val="0"/>
        <w:adjustRightInd w:val="0"/>
        <w:spacing w:after="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DM Digital (July 2013) – against a TV Channel aimed at UK Asian audience, for the statement of an Islamic scholar who said that “all Muslims have a duty to kill or attack those seen to have insulted the Prophet” (£85,000 fine);</w:t>
      </w:r>
    </w:p>
    <w:p w:rsidR="009962E3" w:rsidRPr="00DC0836" w:rsidRDefault="009962E3" w:rsidP="007F0901">
      <w:pPr>
        <w:numPr>
          <w:ilvl w:val="0"/>
          <w:numId w:val="43"/>
        </w:numPr>
        <w:tabs>
          <w:tab w:val="left" w:pos="360"/>
        </w:tabs>
        <w:autoSpaceDE w:val="0"/>
        <w:autoSpaceDN w:val="0"/>
        <w:adjustRightInd w:val="0"/>
        <w:spacing w:after="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Sangat TV (August 2013) – against a TV channel aimed at the UK Sikh community, for an indirect call to take violent action against a retired general of the Indian Army, in a discussion related to a violent attack in London (£30,000 fine);</w:t>
      </w:r>
    </w:p>
    <w:p w:rsidR="009962E3" w:rsidRPr="00DC0836" w:rsidRDefault="009962E3" w:rsidP="007F0901">
      <w:pPr>
        <w:numPr>
          <w:ilvl w:val="0"/>
          <w:numId w:val="43"/>
        </w:numPr>
        <w:tabs>
          <w:tab w:val="left" w:pos="360"/>
        </w:tabs>
        <w:autoSpaceDE w:val="0"/>
        <w:autoSpaceDN w:val="0"/>
        <w:adjustRightInd w:val="0"/>
        <w:spacing w:after="0"/>
        <w:jc w:val="both"/>
        <w:rPr>
          <w:rFonts w:ascii="Times New Roman" w:hAnsi="Times New Roman" w:cs="Times New Roman"/>
          <w:sz w:val="24"/>
          <w:szCs w:val="24"/>
          <w:lang w:val="en-US"/>
        </w:rPr>
      </w:pPr>
      <w:r w:rsidRPr="00DC0836">
        <w:rPr>
          <w:rFonts w:ascii="Times New Roman" w:hAnsi="Times New Roman" w:cs="Times New Roman"/>
          <w:sz w:val="24"/>
          <w:szCs w:val="24"/>
          <w:lang w:val="en-US"/>
        </w:rPr>
        <w:t>Noor TV (August 2013) – against a TV channel which broadcasts programmes about Islam in various languages, for the statement of an Islamic scholar who said that “it is acceptable, even the duty of Muslims, to murder any one thought to have shown disrespect to the Prophet” (£85,000 fine).</w:t>
      </w:r>
    </w:p>
    <w:p w:rsidR="009962E3" w:rsidRPr="00DC0836" w:rsidRDefault="009962E3" w:rsidP="007F0901">
      <w:pPr>
        <w:autoSpaceDE w:val="0"/>
        <w:autoSpaceDN w:val="0"/>
        <w:adjustRightInd w:val="0"/>
        <w:spacing w:after="0"/>
        <w:ind w:firstLine="360"/>
        <w:rPr>
          <w:rFonts w:ascii="Times New Roman" w:hAnsi="Times New Roman" w:cs="Times New Roman"/>
          <w:sz w:val="24"/>
          <w:szCs w:val="24"/>
          <w:u w:val="single"/>
          <w:lang w:val="mk-MK"/>
        </w:rPr>
      </w:pPr>
    </w:p>
    <w:p w:rsidR="009962E3" w:rsidRPr="00DC0836" w:rsidRDefault="009962E3" w:rsidP="007F0901">
      <w:pPr>
        <w:autoSpaceDE w:val="0"/>
        <w:autoSpaceDN w:val="0"/>
        <w:adjustRightInd w:val="0"/>
        <w:spacing w:after="0"/>
        <w:ind w:firstLine="360"/>
        <w:rPr>
          <w:rFonts w:ascii="Times New Roman" w:hAnsi="Times New Roman" w:cs="Times New Roman"/>
          <w:sz w:val="24"/>
          <w:szCs w:val="24"/>
          <w:u w:val="single"/>
          <w:lang w:val="mk-MK"/>
        </w:rPr>
      </w:pPr>
    </w:p>
    <w:p w:rsidR="009962E3" w:rsidRPr="00DC0836" w:rsidRDefault="009962E3" w:rsidP="007F0901">
      <w:pPr>
        <w:numPr>
          <w:ilvl w:val="0"/>
          <w:numId w:val="42"/>
        </w:numPr>
        <w:spacing w:before="158"/>
        <w:ind w:left="360" w:firstLine="0"/>
        <w:rPr>
          <w:rFonts w:ascii="Times New Roman" w:hAnsi="Times New Roman" w:cs="Times New Roman"/>
          <w:b/>
          <w:sz w:val="24"/>
          <w:szCs w:val="24"/>
        </w:rPr>
      </w:pPr>
      <w:r w:rsidRPr="00DC0836">
        <w:rPr>
          <w:rFonts w:ascii="Times New Roman" w:hAnsi="Times New Roman" w:cs="Times New Roman"/>
          <w:b/>
          <w:sz w:val="24"/>
          <w:szCs w:val="24"/>
          <w:lang w:val="en-US"/>
        </w:rPr>
        <w:t>France</w:t>
      </w:r>
      <w:r w:rsidRPr="00DC0836">
        <w:rPr>
          <w:rFonts w:ascii="Times New Roman" w:hAnsi="Times New Roman" w:cs="Times New Roman"/>
          <w:b/>
          <w:sz w:val="24"/>
          <w:szCs w:val="24"/>
        </w:rPr>
        <w:t xml:space="preserve">  </w:t>
      </w:r>
    </w:p>
    <w:p w:rsidR="009962E3" w:rsidRPr="00DC0836" w:rsidRDefault="009962E3" w:rsidP="007F0901">
      <w:pPr>
        <w:pStyle w:val="Style14"/>
        <w:widowControl/>
        <w:numPr>
          <w:ilvl w:val="1"/>
          <w:numId w:val="42"/>
        </w:numPr>
        <w:spacing w:before="158" w:line="276" w:lineRule="auto"/>
        <w:ind w:left="900" w:hanging="540"/>
        <w:rPr>
          <w:rStyle w:val="FontStyle38"/>
          <w:rFonts w:ascii="Times New Roman" w:hAnsi="Times New Roman"/>
          <w:i/>
          <w:sz w:val="24"/>
        </w:rPr>
      </w:pPr>
      <w:r w:rsidRPr="00DC0836">
        <w:rPr>
          <w:rStyle w:val="FontStyle38"/>
          <w:rFonts w:ascii="Times New Roman" w:hAnsi="Times New Roman"/>
          <w:i/>
          <w:sz w:val="24"/>
        </w:rPr>
        <w:t>Constitutional and legal framework</w:t>
      </w:r>
    </w:p>
    <w:p w:rsidR="009962E3" w:rsidRPr="00DC0836" w:rsidRDefault="009962E3" w:rsidP="007F0901">
      <w:pPr>
        <w:autoSpaceDE w:val="0"/>
        <w:autoSpaceDN w:val="0"/>
        <w:adjustRightInd w:val="0"/>
        <w:spacing w:after="0"/>
        <w:ind w:firstLine="360"/>
        <w:rPr>
          <w:rFonts w:ascii="Times New Roman" w:hAnsi="Times New Roman" w:cs="Times New Roman"/>
          <w:sz w:val="24"/>
          <w:szCs w:val="24"/>
          <w:u w:val="single"/>
          <w:lang w:val="mk-MK"/>
        </w:rPr>
      </w:pPr>
    </w:p>
    <w:p w:rsidR="009962E3" w:rsidRPr="00DC0836" w:rsidRDefault="009962E3" w:rsidP="007F0901">
      <w:pPr>
        <w:pStyle w:val="Style10"/>
        <w:widowControl/>
        <w:spacing w:before="43" w:line="276" w:lineRule="auto"/>
        <w:ind w:left="360"/>
        <w:jc w:val="both"/>
        <w:rPr>
          <w:rStyle w:val="FontStyle33"/>
          <w:rFonts w:ascii="Times New Roman" w:hAnsi="Times New Roman"/>
          <w:sz w:val="24"/>
        </w:rPr>
      </w:pPr>
      <w:r w:rsidRPr="00DC0836">
        <w:rPr>
          <w:rStyle w:val="FontStyle33"/>
          <w:rFonts w:ascii="Times New Roman" w:hAnsi="Times New Roman"/>
          <w:sz w:val="24"/>
        </w:rPr>
        <w:t xml:space="preserve">France guarantees the equality of all citizens before the law, without distinction as to origin, race or religion. </w:t>
      </w:r>
      <w:r w:rsidRPr="00DC0836">
        <w:rPr>
          <w:rStyle w:val="FontStyle32"/>
          <w:rFonts w:ascii="Times New Roman" w:hAnsi="Times New Roman"/>
          <w:sz w:val="24"/>
        </w:rPr>
        <w:t xml:space="preserve">Fundamental rights and freedoms in France are guaranteed in the preamble to the 1958 Constitution, which refers back to the preamble to the 1946 Constitution which is based on the Declaration of Human Rights of 1789. Article 2 of the 1958 Constitution states that France </w:t>
      </w:r>
      <w:r w:rsidRPr="00DC0836">
        <w:rPr>
          <w:rStyle w:val="FontStyle33"/>
          <w:rFonts w:ascii="Times New Roman" w:hAnsi="Times New Roman"/>
          <w:sz w:val="24"/>
        </w:rPr>
        <w:t>"...shall ensure the equality of all citizens before the law, without distinction of origin, race or religion. It shall respect all beliefs."</w:t>
      </w:r>
    </w:p>
    <w:p w:rsidR="009962E3" w:rsidRPr="00DC0836" w:rsidRDefault="009962E3" w:rsidP="007F0901">
      <w:pPr>
        <w:pStyle w:val="Style10"/>
        <w:widowControl/>
        <w:spacing w:before="43" w:line="276" w:lineRule="auto"/>
        <w:ind w:left="360"/>
        <w:jc w:val="both"/>
        <w:rPr>
          <w:rStyle w:val="FontStyle33"/>
          <w:rFonts w:ascii="Times New Roman" w:hAnsi="Times New Roman"/>
          <w:sz w:val="24"/>
        </w:rPr>
      </w:pPr>
    </w:p>
    <w:p w:rsidR="009962E3" w:rsidRPr="00DC0836" w:rsidRDefault="009962E3" w:rsidP="007F0901">
      <w:pPr>
        <w:pStyle w:val="Style10"/>
        <w:widowControl/>
        <w:spacing w:before="43" w:line="276" w:lineRule="auto"/>
        <w:ind w:left="360"/>
        <w:jc w:val="both"/>
        <w:rPr>
          <w:rStyle w:val="FontStyle32"/>
          <w:rFonts w:ascii="Times New Roman" w:hAnsi="Times New Roman"/>
          <w:sz w:val="24"/>
        </w:rPr>
      </w:pPr>
      <w:r w:rsidRPr="00DC0836">
        <w:rPr>
          <w:rStyle w:val="FontStyle32"/>
          <w:rFonts w:ascii="Times New Roman" w:hAnsi="Times New Roman"/>
          <w:sz w:val="24"/>
        </w:rPr>
        <w:t xml:space="preserve">France has adopted several antiracist laws. The Act of 1 July 1972 forms the basis of this body of law. This Act is contained both within the Criminal Law (repression of discriminatory acts: article 416) and in the Act of 29 July 1881 on the freedom of the press. It was added to further Acts adopted in 1975, 1977, 1983, 1985 and 1987. Finally, the new Press Act of 13 July 1990 (Section 24a) completed the body of law by creating the offence of disputing crimes against humanity. </w:t>
      </w:r>
    </w:p>
    <w:p w:rsidR="009962E3" w:rsidRPr="00DC0836" w:rsidRDefault="009962E3" w:rsidP="007F0901">
      <w:pPr>
        <w:pStyle w:val="Style10"/>
        <w:widowControl/>
        <w:spacing w:line="276" w:lineRule="auto"/>
        <w:ind w:firstLine="715"/>
        <w:rPr>
          <w:rFonts w:ascii="Times New Roman" w:hAnsi="Times New Roman"/>
        </w:rPr>
      </w:pPr>
    </w:p>
    <w:p w:rsidR="009962E3" w:rsidRPr="00DC0836" w:rsidRDefault="009962E3" w:rsidP="007F0901">
      <w:pPr>
        <w:pStyle w:val="Style10"/>
        <w:widowControl/>
        <w:spacing w:before="14" w:line="276" w:lineRule="auto"/>
        <w:ind w:left="360"/>
        <w:jc w:val="both"/>
        <w:rPr>
          <w:rStyle w:val="FontStyle32"/>
          <w:rFonts w:ascii="Times New Roman" w:hAnsi="Times New Roman"/>
          <w:sz w:val="24"/>
        </w:rPr>
      </w:pPr>
      <w:r w:rsidRPr="00DC0836">
        <w:rPr>
          <w:rStyle w:val="FontStyle32"/>
          <w:rFonts w:ascii="Times New Roman" w:hAnsi="Times New Roman"/>
          <w:sz w:val="24"/>
        </w:rPr>
        <w:t xml:space="preserve">The new Criminal Code, which came into force on 1 March 1994, amends, supplements and even creates a number of provisions on racism. On the whole, it introduced more stringent penalties for racist offences. </w:t>
      </w:r>
      <w:r w:rsidRPr="00DC0836">
        <w:rPr>
          <w:rStyle w:val="FontStyle33"/>
          <w:rFonts w:ascii="Times New Roman" w:hAnsi="Times New Roman"/>
          <w:sz w:val="24"/>
        </w:rPr>
        <w:t xml:space="preserve">Article 225-1 of the new French Criminal Code provides a definition of discrimination as “any distinction resting on origin or the membership (or non-membership) of a particular ethnic group, nation, race or religion.” This article also covers the punishment for discrimination against legal persons for the same reasons. Other provisions of the Criminal Code ban other types of offenses as well: genocide, other crimes against humanity, racism, non-public incitement to discrimination, hatred or racial violence, etc. </w:t>
      </w:r>
      <w:r w:rsidRPr="00DC0836">
        <w:rPr>
          <w:rStyle w:val="FontStyle32"/>
          <w:rFonts w:ascii="Times New Roman" w:hAnsi="Times New Roman"/>
          <w:sz w:val="24"/>
        </w:rPr>
        <w:t xml:space="preserve"> </w:t>
      </w:r>
    </w:p>
    <w:p w:rsidR="009962E3" w:rsidRPr="00DC0836" w:rsidRDefault="009962E3" w:rsidP="007F0901">
      <w:pPr>
        <w:pStyle w:val="Style10"/>
        <w:widowControl/>
        <w:spacing w:before="14" w:line="276" w:lineRule="auto"/>
        <w:ind w:left="360"/>
        <w:jc w:val="both"/>
        <w:rPr>
          <w:rStyle w:val="FontStyle32"/>
          <w:rFonts w:ascii="Times New Roman" w:hAnsi="Times New Roman"/>
          <w:sz w:val="24"/>
        </w:rPr>
      </w:pPr>
    </w:p>
    <w:p w:rsidR="009962E3" w:rsidRPr="00DC0836" w:rsidRDefault="009962E3" w:rsidP="007F0901">
      <w:pPr>
        <w:pStyle w:val="Style10"/>
        <w:widowControl/>
        <w:spacing w:before="14" w:line="276" w:lineRule="auto"/>
        <w:ind w:left="360"/>
        <w:jc w:val="both"/>
        <w:rPr>
          <w:rStyle w:val="FontStyle32"/>
          <w:rFonts w:ascii="Times New Roman" w:hAnsi="Times New Roman"/>
          <w:sz w:val="24"/>
        </w:rPr>
      </w:pPr>
      <w:r w:rsidRPr="00DC0836">
        <w:rPr>
          <w:rStyle w:val="FontStyle32"/>
          <w:rFonts w:ascii="Times New Roman" w:hAnsi="Times New Roman"/>
          <w:sz w:val="24"/>
        </w:rPr>
        <w:t xml:space="preserve">The new Criminal Code does not amend the offences defined by the Act of 29 July 1881 on the freedom of the press, which remains in force. The 1981 Act contains measures which make it an offence to defend or dispute crimes against humanity, instigate discrimination, hatred or violence or engage in the defamation or abuse of a race, ethnic group, nation or religion. People who write racist graffiti and inscriptions on public or private buildings are liable to prosecution not only for willful damage or desecration of graves, but also for racist offences, when these are proven. In order for one of the above-mentioned offences to exist, the acts must have been </w:t>
      </w:r>
      <w:r w:rsidRPr="00DC0836">
        <w:rPr>
          <w:rStyle w:val="FontStyle31"/>
          <w:rFonts w:ascii="Times New Roman" w:hAnsi="Times New Roman"/>
          <w:iCs/>
          <w:sz w:val="24"/>
        </w:rPr>
        <w:t xml:space="preserve">brought to the attention of the public </w:t>
      </w:r>
      <w:r w:rsidRPr="00DC0836">
        <w:rPr>
          <w:rStyle w:val="FontStyle32"/>
          <w:rFonts w:ascii="Times New Roman" w:hAnsi="Times New Roman"/>
          <w:sz w:val="24"/>
        </w:rPr>
        <w:t xml:space="preserve">by one of the means of publicity: printed matter, drawings, engravings, paintings, emblems, images or any other written, oral or visual medium, sold or distributed, placed on sale or exposed to public view, as well as any audiovisual means of communication. The 1881 Act punishes not only the offender, but also the persons who have contributed to the manifestation of the offence, even if they did not take direct part in committing it. Under Section 42, the following persons are liable to punishment: publishers or editors, printers, distributors, vendors, etc. As far as audiovisual communications are concerned, the Act of 13 December 1985, which supplements the Act of 29 July 1982, systematizes the criminal liability of these kinds of offenders in the same way (Section 93-3). </w:t>
      </w:r>
    </w:p>
    <w:p w:rsidR="009962E3" w:rsidRPr="00DC0836" w:rsidRDefault="009962E3" w:rsidP="007F0901">
      <w:pPr>
        <w:pStyle w:val="Style10"/>
        <w:widowControl/>
        <w:spacing w:before="14" w:line="276" w:lineRule="auto"/>
        <w:ind w:left="360"/>
        <w:jc w:val="both"/>
        <w:rPr>
          <w:rStyle w:val="FontStyle32"/>
          <w:rFonts w:ascii="Times New Roman" w:hAnsi="Times New Roman"/>
          <w:sz w:val="24"/>
        </w:rPr>
      </w:pPr>
    </w:p>
    <w:p w:rsidR="009962E3" w:rsidRDefault="009962E3" w:rsidP="007F0901">
      <w:pPr>
        <w:pStyle w:val="Style10"/>
        <w:widowControl/>
        <w:spacing w:before="14" w:line="276" w:lineRule="auto"/>
        <w:ind w:left="360"/>
        <w:jc w:val="both"/>
        <w:rPr>
          <w:rStyle w:val="FontStyle32"/>
          <w:rFonts w:ascii="Times New Roman" w:hAnsi="Times New Roman"/>
          <w:sz w:val="24"/>
        </w:rPr>
      </w:pPr>
      <w:r w:rsidRPr="00DC0836">
        <w:rPr>
          <w:rStyle w:val="FontStyle32"/>
          <w:rFonts w:ascii="Times New Roman" w:hAnsi="Times New Roman"/>
          <w:sz w:val="24"/>
        </w:rPr>
        <w:t>The Freedom of Communication Act (</w:t>
      </w:r>
      <w:r w:rsidRPr="00DC0836">
        <w:rPr>
          <w:rStyle w:val="FontStyle32"/>
          <w:rFonts w:ascii="Times New Roman" w:hAnsi="Times New Roman"/>
          <w:i/>
          <w:sz w:val="24"/>
        </w:rPr>
        <w:t>Loi relative à la liberté de communication</w:t>
      </w:r>
      <w:r w:rsidRPr="00DC0836">
        <w:rPr>
          <w:rStyle w:val="FontStyle32"/>
          <w:rFonts w:ascii="Times New Roman" w:hAnsi="Times New Roman"/>
          <w:sz w:val="24"/>
        </w:rPr>
        <w:t>) of September 1986 contained the most important principles regulating the content offered by public services and commercial broadcasters. It was amended by the Act of 5 March 2009 on audiovisual communications and the new public service which also included the regulation of the content offered by on-demand audiovisual services. According to Section 2(3) of the Act, both television services and on-demand audiovisual services fall within the scope of the term “audiovisual communication”. Section 1(2), Sections 3-1(1) and (5) and Section 15 of the Act provide that CSA (Superior Audiovisual Council) shall ensure freedom of communication, but this may be subject to restrictions on grounds of incitement to hatred.</w:t>
      </w:r>
      <w:r w:rsidRPr="00DC0836">
        <w:rPr>
          <w:rStyle w:val="FootnoteReference"/>
          <w:rFonts w:ascii="Times New Roman" w:hAnsi="Times New Roman"/>
        </w:rPr>
        <w:footnoteReference w:id="33"/>
      </w:r>
      <w:r w:rsidRPr="00DC0836">
        <w:rPr>
          <w:rStyle w:val="FontStyle32"/>
          <w:rFonts w:ascii="Times New Roman" w:hAnsi="Times New Roman"/>
          <w:sz w:val="24"/>
        </w:rPr>
        <w:t xml:space="preserve"> The CSA can issue recommendations to audiovisual media service providers, which are published in the Official Gazette.   </w:t>
      </w:r>
    </w:p>
    <w:p w:rsidR="009962E3" w:rsidRPr="00DC0836" w:rsidRDefault="009962E3" w:rsidP="007F0901">
      <w:pPr>
        <w:pStyle w:val="Style10"/>
        <w:widowControl/>
        <w:spacing w:before="14" w:line="276" w:lineRule="auto"/>
        <w:ind w:left="360"/>
        <w:jc w:val="both"/>
        <w:rPr>
          <w:rStyle w:val="FontStyle32"/>
          <w:rFonts w:ascii="Times New Roman" w:hAnsi="Times New Roman"/>
          <w:sz w:val="24"/>
        </w:rPr>
      </w:pPr>
    </w:p>
    <w:p w:rsidR="009962E3" w:rsidRPr="00DC0836" w:rsidRDefault="009962E3" w:rsidP="007F0901">
      <w:pPr>
        <w:pStyle w:val="Style14"/>
        <w:widowControl/>
        <w:numPr>
          <w:ilvl w:val="1"/>
          <w:numId w:val="42"/>
        </w:numPr>
        <w:spacing w:before="158" w:line="276" w:lineRule="auto"/>
        <w:rPr>
          <w:rStyle w:val="FontStyle38"/>
          <w:rFonts w:ascii="Times New Roman" w:hAnsi="Times New Roman"/>
          <w:i/>
          <w:sz w:val="24"/>
        </w:rPr>
      </w:pPr>
      <w:r w:rsidRPr="00DC0836">
        <w:rPr>
          <w:rStyle w:val="FontStyle38"/>
          <w:rFonts w:ascii="Times New Roman" w:hAnsi="Times New Roman"/>
          <w:i/>
          <w:sz w:val="24"/>
        </w:rPr>
        <w:t xml:space="preserve">CSA powers and practices related to hate speech </w:t>
      </w:r>
    </w:p>
    <w:p w:rsidR="009962E3" w:rsidRPr="00DC0836" w:rsidRDefault="009962E3" w:rsidP="007F0901">
      <w:pPr>
        <w:tabs>
          <w:tab w:val="left" w:pos="6705"/>
        </w:tabs>
        <w:autoSpaceDE w:val="0"/>
        <w:autoSpaceDN w:val="0"/>
        <w:adjustRightInd w:val="0"/>
        <w:spacing w:after="0"/>
        <w:ind w:firstLine="360"/>
        <w:rPr>
          <w:rFonts w:ascii="Times New Roman" w:hAnsi="Times New Roman" w:cs="Times New Roman"/>
          <w:sz w:val="24"/>
          <w:szCs w:val="24"/>
          <w:u w:val="single"/>
          <w:lang w:val="en-US"/>
        </w:rPr>
      </w:pPr>
    </w:p>
    <w:p w:rsidR="009962E3" w:rsidRPr="00DC0836" w:rsidRDefault="009962E3" w:rsidP="007F0901">
      <w:pPr>
        <w:pStyle w:val="NormalWeb"/>
        <w:shd w:val="clear" w:color="auto" w:fill="FFFFFF"/>
        <w:spacing w:before="0" w:beforeAutospacing="0" w:after="150" w:afterAutospacing="0" w:line="276" w:lineRule="auto"/>
        <w:ind w:left="360"/>
        <w:jc w:val="both"/>
      </w:pPr>
      <w:r w:rsidRPr="00DC0836">
        <w:t>The</w:t>
      </w:r>
      <w:r w:rsidRPr="00DC0836">
        <w:rPr>
          <w:rStyle w:val="apple-converted-space"/>
        </w:rPr>
        <w:t> </w:t>
      </w:r>
      <w:r w:rsidRPr="00DC0836">
        <w:rPr>
          <w:i/>
          <w:iCs/>
        </w:rPr>
        <w:t>Conseil supérieur de l’audiovisuel</w:t>
      </w:r>
      <w:r w:rsidRPr="00DC0836">
        <w:rPr>
          <w:rStyle w:val="apple-converted-space"/>
          <w:i/>
          <w:iCs/>
        </w:rPr>
        <w:t> </w:t>
      </w:r>
      <w:r w:rsidRPr="00DC0836">
        <w:t xml:space="preserve">(CSA) was established under the Law of 17 January 1989 with the powers of guaranteeing broadcasting freedom in France. </w:t>
      </w:r>
      <w:r w:rsidRPr="00DC0836">
        <w:rPr>
          <w:lang w:val="fr-FR"/>
        </w:rPr>
        <w:t>It is the successor to the</w:t>
      </w:r>
      <w:r w:rsidRPr="00DC0836">
        <w:rPr>
          <w:rStyle w:val="apple-converted-space"/>
          <w:lang w:val="fr-FR"/>
        </w:rPr>
        <w:t> </w:t>
      </w:r>
      <w:r w:rsidRPr="00DC0836">
        <w:rPr>
          <w:i/>
          <w:iCs/>
          <w:lang w:val="fr-FR"/>
        </w:rPr>
        <w:t>Haute Autorité de la communication audiovisuelle (</w:t>
      </w:r>
      <w:r w:rsidRPr="00DC0836">
        <w:rPr>
          <w:lang w:val="fr-FR"/>
        </w:rPr>
        <w:t>1982-1986) and to the</w:t>
      </w:r>
      <w:r w:rsidRPr="00DC0836">
        <w:rPr>
          <w:rStyle w:val="apple-converted-space"/>
          <w:lang w:val="fr-FR"/>
        </w:rPr>
        <w:t> </w:t>
      </w:r>
      <w:r w:rsidRPr="00DC0836">
        <w:rPr>
          <w:i/>
          <w:iCs/>
          <w:lang w:val="fr-FR"/>
        </w:rPr>
        <w:t>Commission nationale de la communication et des libertés</w:t>
      </w:r>
      <w:r w:rsidRPr="00DC0836">
        <w:rPr>
          <w:rStyle w:val="apple-converted-space"/>
          <w:i/>
          <w:iCs/>
          <w:lang w:val="fr-FR"/>
        </w:rPr>
        <w:t> </w:t>
      </w:r>
      <w:r w:rsidRPr="00DC0836">
        <w:rPr>
          <w:lang w:val="fr-FR"/>
        </w:rPr>
        <w:t xml:space="preserve">(1986-1989). </w:t>
      </w:r>
      <w:r w:rsidRPr="00DC0836">
        <w:t>The CSA's responsibilities are wide-ranging: ensuring plurality of opinions expressed in the audiovisual sector, monitoring the coverage of electoral campaigns, allocating frequencies to operators, minors’ protection, ensuring human dignity, protecting consumers etc. The</w:t>
      </w:r>
      <w:r w:rsidRPr="00DC0836">
        <w:rPr>
          <w:rStyle w:val="apple-converted-space"/>
        </w:rPr>
        <w:t> </w:t>
      </w:r>
      <w:r w:rsidRPr="00DC0836">
        <w:rPr>
          <w:i/>
          <w:iCs/>
        </w:rPr>
        <w:t>Conseil</w:t>
      </w:r>
      <w:r w:rsidRPr="00DC0836">
        <w:rPr>
          <w:rStyle w:val="apple-converted-space"/>
        </w:rPr>
        <w:t> </w:t>
      </w:r>
      <w:r w:rsidRPr="00DC0836">
        <w:t>is also in charge of preserving the French language and culture. More recently, the CSA has received new charges: making television programmes accessible to hearing or visually impaired persons, ensuring that media reflect the diversity of French society, supporting public health protection policies, etc.</w:t>
      </w:r>
    </w:p>
    <w:p w:rsidR="009962E3" w:rsidRPr="00DC0836" w:rsidRDefault="009962E3" w:rsidP="007F0901">
      <w:pPr>
        <w:pStyle w:val="NormalWeb"/>
        <w:shd w:val="clear" w:color="auto" w:fill="FFFFFF"/>
        <w:spacing w:before="0" w:beforeAutospacing="0" w:after="150" w:afterAutospacing="0" w:line="276" w:lineRule="auto"/>
        <w:ind w:left="360"/>
        <w:jc w:val="both"/>
      </w:pPr>
      <w:r w:rsidRPr="00DC0836">
        <w:t>One of the main missions of the CSA is to ensure that audiovisual contents of the broadcasters and the nonlinear audiovisual services respect the fundamental principles contained in the Act of 30 September 1986 on freedom of communication. These principles include respect for human dignity, the fight against discrimination, the maintenance of public order and the honesty of information. While Article 1 of the Law of 30 September 1986 on freedom of communication gives the CSA general power to ensure respect for these principles, other laws enable it to undertake various actions. For example, the Act of 29 July 1881 on the freedom of the press punishes slander and defamation, and Article 9 of the Civil Code governs respect for privacy. These laws give legitimacy and ground to CSA’s actions.</w:t>
      </w:r>
    </w:p>
    <w:p w:rsidR="009962E3" w:rsidRPr="00DC0836" w:rsidRDefault="009962E3" w:rsidP="007F0901">
      <w:pPr>
        <w:pStyle w:val="NormalWeb"/>
        <w:shd w:val="clear" w:color="auto" w:fill="FFFFFF"/>
        <w:spacing w:before="0" w:beforeAutospacing="0" w:after="150" w:afterAutospacing="0" w:line="276" w:lineRule="auto"/>
        <w:ind w:left="360"/>
        <w:jc w:val="both"/>
      </w:pPr>
      <w:r w:rsidRPr="00DC0836">
        <w:t xml:space="preserve">This legal basis is reflected in particular in the obligations that the CSA incorporates into the agreements signed by audiovisual media service providers. These agreements contain clear provisions on ethical dimensions and respect to human rights in the programmes offered by audiovisual media services. Thus, the agreements contain obligations: to avoid presentation of human suffering, to respect different political, cultural and religious sensitivities of the public, to promote the values </w:t>
      </w:r>
      <w:r w:rsidRPr="00DC0836">
        <w:rPr>
          <w:rFonts w:hAnsi="Cambria Math"/>
        </w:rPr>
        <w:t>​​</w:t>
      </w:r>
      <w:r w:rsidRPr="00DC0836">
        <w:t>of integration and solidarity, to verify information and to present the various sources, to be rigorous in the presentation and processing of information, to avoid misleading the viewer, to respect the human rights of a person, etc. </w:t>
      </w:r>
    </w:p>
    <w:p w:rsidR="009962E3" w:rsidRPr="00DC0836" w:rsidRDefault="009962E3" w:rsidP="007F0901">
      <w:pPr>
        <w:pStyle w:val="NormalWeb"/>
        <w:shd w:val="clear" w:color="auto" w:fill="FFFFFF"/>
        <w:spacing w:before="0" w:beforeAutospacing="0" w:after="150" w:afterAutospacing="0" w:line="276" w:lineRule="auto"/>
        <w:ind w:left="360"/>
        <w:jc w:val="both"/>
      </w:pPr>
      <w:r w:rsidRPr="00DC0836">
        <w:t>The Council adopted a recommendation in 2004 on the treatment of international conflicts</w:t>
      </w:r>
      <w:r w:rsidRPr="00DC0836">
        <w:rPr>
          <w:rStyle w:val="FootnoteReference"/>
        </w:rPr>
        <w:footnoteReference w:id="34"/>
      </w:r>
      <w:r w:rsidRPr="00DC0836">
        <w:t xml:space="preserve">, requiring from audiovisual operators: to verify the accuracy of the information and quote the source and date of proceeding; to publish correction in case of disseminating inaccurate information; to take into consideration, with due attention and rigor, that international conflicts are likely to fuel tensions or lead to attitudes of rejection or xenophobia, etc. </w:t>
      </w:r>
    </w:p>
    <w:p w:rsidR="009962E3" w:rsidRPr="00DC0836" w:rsidRDefault="009962E3" w:rsidP="007F0901">
      <w:pPr>
        <w:pStyle w:val="NormalWeb"/>
        <w:shd w:val="clear" w:color="auto" w:fill="FFFFFF"/>
        <w:spacing w:before="0" w:beforeAutospacing="0" w:after="150" w:afterAutospacing="0" w:line="276" w:lineRule="auto"/>
        <w:ind w:left="360"/>
        <w:jc w:val="both"/>
      </w:pPr>
      <w:r w:rsidRPr="00DC0836">
        <w:t xml:space="preserve">The CSA also has powers to initiate a procedure after a complaint is lodged by individuals or associations concerning an alleged breach of the legal provisions of the Law on Freedom of Communication or the obligations undertaken in the license agreement. Several cases are published on the CSA’s web site, among which a few are related to violation of the provisions on respect for human dignity: </w:t>
      </w:r>
    </w:p>
    <w:p w:rsidR="009962E3" w:rsidRPr="00DC0836" w:rsidRDefault="009962E3" w:rsidP="007F0901">
      <w:pPr>
        <w:pStyle w:val="NormalWeb"/>
        <w:numPr>
          <w:ilvl w:val="0"/>
          <w:numId w:val="44"/>
        </w:numPr>
        <w:shd w:val="clear" w:color="auto" w:fill="FFFFFF"/>
        <w:spacing w:before="0" w:beforeAutospacing="0" w:after="150" w:afterAutospacing="0" w:line="276" w:lineRule="auto"/>
        <w:jc w:val="both"/>
      </w:pPr>
      <w:r w:rsidRPr="00DC0836">
        <w:t xml:space="preserve">In June 2014, the CSA warned Canal + about the programme </w:t>
      </w:r>
      <w:r w:rsidRPr="00DC0836">
        <w:rPr>
          <w:i/>
        </w:rPr>
        <w:t>La Nouvelle Edition of</w:t>
      </w:r>
      <w:r w:rsidRPr="00DC0836">
        <w:t xml:space="preserve"> 10 April 2014, in which a columnist made </w:t>
      </w:r>
      <w:r w:rsidRPr="00DC0836">
        <w:rPr>
          <w:rFonts w:hAnsi="Cambria Math"/>
        </w:rPr>
        <w:t>​​</w:t>
      </w:r>
      <w:r w:rsidRPr="00DC0836">
        <w:t>comments that tended to minimize the scope of the abuses that occurred in 1992 in Maragha against the Armenian population. CSA determined that such statements, even if expressed with a humorous tone, do not take into account the obligations under Articles 1 and 15 of the Law of 30 September 1986 related to respect for human dignity</w:t>
      </w:r>
      <w:r w:rsidRPr="00DC0836">
        <w:rPr>
          <w:rStyle w:val="FootnoteReference"/>
        </w:rPr>
        <w:footnoteReference w:id="35"/>
      </w:r>
      <w:r w:rsidRPr="00DC0836">
        <w:t xml:space="preserve">.  </w:t>
      </w:r>
    </w:p>
    <w:p w:rsidR="009962E3" w:rsidRPr="00DC0836" w:rsidRDefault="009962E3" w:rsidP="007F0901">
      <w:pPr>
        <w:pStyle w:val="NormalWeb"/>
        <w:numPr>
          <w:ilvl w:val="0"/>
          <w:numId w:val="44"/>
        </w:numPr>
        <w:shd w:val="clear" w:color="auto" w:fill="FFFFFF"/>
        <w:spacing w:before="0" w:beforeAutospacing="0" w:after="150" w:afterAutospacing="0" w:line="276" w:lineRule="auto"/>
        <w:jc w:val="both"/>
      </w:pPr>
      <w:r w:rsidRPr="00DC0836">
        <w:t xml:space="preserve">In February 2013, the CSA issued a warning to France 2 regarding the current affairs magazine </w:t>
      </w:r>
      <w:r w:rsidRPr="00DC0836">
        <w:rPr>
          <w:i/>
        </w:rPr>
        <w:t>Envoyé Special</w:t>
      </w:r>
      <w:r w:rsidRPr="00DC0836">
        <w:t xml:space="preserve"> of 7 February 2013. CSA found the images shown in the magazine in a report dedicated to the conflict in Mali represented an infringement of the human dignity of the victims and were likely to disturb young viewers. The CSA supported its decision with the fact that the images of deceased persons were very extensive, were repeated and explicitly showed the bodies of the victims. At its Plenary Session, the CSA decided to issue a warning to the editors of France against the repetition of such violations</w:t>
      </w:r>
      <w:r w:rsidRPr="00DC0836">
        <w:rPr>
          <w:rStyle w:val="FootnoteReference"/>
        </w:rPr>
        <w:footnoteReference w:id="36"/>
      </w:r>
      <w:r w:rsidRPr="00DC0836">
        <w:t>. The warning was issued on the basis of Article 1 of the Law of 30 September 1986 on freedom of communication and Article 16-1-1 of the Civil Code.</w:t>
      </w:r>
    </w:p>
    <w:p w:rsidR="009962E3" w:rsidRPr="00DC0836" w:rsidRDefault="009962E3" w:rsidP="007F0901">
      <w:pPr>
        <w:pStyle w:val="NormalWeb"/>
        <w:numPr>
          <w:ilvl w:val="0"/>
          <w:numId w:val="44"/>
        </w:numPr>
        <w:shd w:val="clear" w:color="auto" w:fill="FFFFFF"/>
        <w:spacing w:before="0" w:beforeAutospacing="0" w:after="150" w:afterAutospacing="0" w:line="276" w:lineRule="auto"/>
        <w:jc w:val="both"/>
      </w:pPr>
      <w:r w:rsidRPr="00DC0836">
        <w:t xml:space="preserve">In the course of 2003, the Lebanese Channel Al Manar broadcasted programs all over Europe without a license. Several times, it broadcasted various programmes containing anti-Semitic elements. </w:t>
      </w:r>
      <w:r w:rsidRPr="00DC0836">
        <w:rPr>
          <w:color w:val="000000"/>
        </w:rPr>
        <w:t>The Channel was licensed by CSA in November 2004, under a very strict agreement which contained obligations not to broadcast discriminatory content or any other form of hate speech. However, in December 2004, CSA made a decision to revoke the license following several further infringements. The CSA also referred the matter urgently to the</w:t>
      </w:r>
      <w:r w:rsidRPr="00DC0836">
        <w:rPr>
          <w:rStyle w:val="apple-converted-space"/>
          <w:color w:val="000000"/>
        </w:rPr>
        <w:t> </w:t>
      </w:r>
      <w:r w:rsidRPr="00DC0836">
        <w:rPr>
          <w:i/>
          <w:iCs/>
          <w:color w:val="000000"/>
        </w:rPr>
        <w:t xml:space="preserve">Conseil d'État </w:t>
      </w:r>
      <w:r w:rsidRPr="00DC0836">
        <w:rPr>
          <w:iCs/>
          <w:color w:val="000000"/>
        </w:rPr>
        <w:t>(the French Supreme Court for administrative justice)</w:t>
      </w:r>
      <w:r w:rsidRPr="00DC0836">
        <w:rPr>
          <w:color w:val="000000"/>
        </w:rPr>
        <w:t>, on the basis of the new Article 42-10 of the amended Act of 30 September 1986, to undertake measures to stop the retransmission of Al Manar over the satellite platform Eutelsat</w:t>
      </w:r>
      <w:r w:rsidRPr="00DC0836">
        <w:rPr>
          <w:rStyle w:val="FootnoteReference"/>
          <w:color w:val="000000"/>
        </w:rPr>
        <w:footnoteReference w:id="37"/>
      </w:r>
      <w:r w:rsidRPr="00DC0836">
        <w:rPr>
          <w:color w:val="000000"/>
        </w:rPr>
        <w:t>.  The</w:t>
      </w:r>
      <w:r w:rsidRPr="00DC0836">
        <w:rPr>
          <w:rStyle w:val="apple-converted-space"/>
          <w:color w:val="000000"/>
        </w:rPr>
        <w:t> </w:t>
      </w:r>
      <w:r w:rsidRPr="00DC0836">
        <w:rPr>
          <w:i/>
          <w:iCs/>
          <w:color w:val="000000"/>
        </w:rPr>
        <w:t xml:space="preserve">Conseil d'État </w:t>
      </w:r>
      <w:r w:rsidRPr="00DC0836">
        <w:rPr>
          <w:color w:val="000000"/>
        </w:rPr>
        <w:t xml:space="preserve">established that, despite the warnings issued by the CSA and its signing of the agreement with the CSA, Al Manar had continued to broadcast  content that was blatantly in contradiction with the provisions of Article 15 of the Act of 30 September 1986 prohibiting the broadcasting of any programme containing incitement to hatred or violence on the basis of religion or nationality. At the same time, the CSA embarked on a sanction procedure that resulted in terminating the agreement on 17 December 2004. </w:t>
      </w:r>
    </w:p>
    <w:p w:rsidR="009962E3" w:rsidRPr="00DC0836" w:rsidRDefault="009962E3" w:rsidP="007F0901">
      <w:pPr>
        <w:pStyle w:val="NormalWeb"/>
        <w:shd w:val="clear" w:color="auto" w:fill="FFFFFF"/>
        <w:spacing w:before="0" w:beforeAutospacing="0" w:after="150" w:afterAutospacing="0" w:line="276" w:lineRule="auto"/>
        <w:jc w:val="both"/>
      </w:pPr>
    </w:p>
    <w:p w:rsidR="009962E3" w:rsidRPr="00DC0836" w:rsidRDefault="009962E3" w:rsidP="007F0901">
      <w:pPr>
        <w:pStyle w:val="NormalWeb"/>
        <w:shd w:val="clear" w:color="auto" w:fill="FFFFFF"/>
        <w:spacing w:before="0" w:beforeAutospacing="0" w:after="150" w:afterAutospacing="0" w:line="276" w:lineRule="auto"/>
        <w:jc w:val="both"/>
      </w:pPr>
    </w:p>
    <w:p w:rsidR="009962E3" w:rsidRPr="00DC0836" w:rsidRDefault="009962E3" w:rsidP="007F0901">
      <w:pPr>
        <w:numPr>
          <w:ilvl w:val="0"/>
          <w:numId w:val="42"/>
        </w:numPr>
        <w:spacing w:before="158"/>
        <w:ind w:left="360" w:firstLine="0"/>
        <w:rPr>
          <w:rFonts w:ascii="Times New Roman" w:hAnsi="Times New Roman" w:cs="Times New Roman"/>
          <w:b/>
          <w:sz w:val="24"/>
          <w:szCs w:val="24"/>
        </w:rPr>
      </w:pPr>
      <w:r w:rsidRPr="00DC0836">
        <w:rPr>
          <w:rFonts w:ascii="Times New Roman" w:hAnsi="Times New Roman" w:cs="Times New Roman"/>
          <w:b/>
          <w:sz w:val="24"/>
          <w:szCs w:val="24"/>
          <w:lang w:val="en-US"/>
        </w:rPr>
        <w:t>Poland</w:t>
      </w:r>
    </w:p>
    <w:p w:rsidR="009962E3" w:rsidRPr="00DC0836" w:rsidRDefault="009962E3" w:rsidP="007F0901">
      <w:pPr>
        <w:pStyle w:val="Style14"/>
        <w:widowControl/>
        <w:numPr>
          <w:ilvl w:val="1"/>
          <w:numId w:val="42"/>
        </w:numPr>
        <w:spacing w:before="158" w:line="276" w:lineRule="auto"/>
        <w:ind w:left="900" w:hanging="540"/>
        <w:rPr>
          <w:rStyle w:val="FontStyle38"/>
          <w:rFonts w:ascii="Times New Roman" w:hAnsi="Times New Roman"/>
          <w:i/>
          <w:sz w:val="24"/>
        </w:rPr>
      </w:pPr>
      <w:r w:rsidRPr="00DC0836">
        <w:rPr>
          <w:rStyle w:val="FontStyle38"/>
          <w:rFonts w:ascii="Times New Roman" w:hAnsi="Times New Roman"/>
          <w:i/>
          <w:sz w:val="24"/>
        </w:rPr>
        <w:t>Constitutional and legal framework</w:t>
      </w:r>
    </w:p>
    <w:p w:rsidR="009962E3" w:rsidRPr="00DC0836" w:rsidRDefault="009962E3" w:rsidP="007F0901">
      <w:pPr>
        <w:pStyle w:val="NormalWeb"/>
        <w:shd w:val="clear" w:color="auto" w:fill="FFFFFF"/>
        <w:spacing w:before="240" w:beforeAutospacing="0" w:after="150" w:afterAutospacing="0" w:line="276" w:lineRule="auto"/>
        <w:ind w:left="360"/>
        <w:jc w:val="both"/>
      </w:pPr>
      <w:r w:rsidRPr="00DC0836">
        <w:t>The Polish Constitution contains several provisions related to equality of a</w:t>
      </w:r>
      <w:r w:rsidRPr="00DC0836">
        <w:rPr>
          <w:rStyle w:val="FontStyle20"/>
          <w:rFonts w:ascii="Times New Roman" w:hAnsi="Times New Roman"/>
          <w:sz w:val="24"/>
        </w:rPr>
        <w:t>ll persons before the law. All persons shall have the right to equal treatment by public authorities. No one shall be discriminated against in political, social or economic life for any reason whatsoever (Article 32). Polish citizens belonging to national or ethnic minorities have the freedom to maintain and foster  their own language, to maintain customs and traditions and to develop their own culture. National and ethnic minorities shall have the right to establish educational and cultural institutions, institutions designed to protect religious identity, as well as to participate in the resolution of matters connected with their cultural identity (Article 91).</w:t>
      </w:r>
      <w:r w:rsidRPr="00DC0836">
        <w:t xml:space="preserve"> </w:t>
      </w:r>
    </w:p>
    <w:p w:rsidR="009962E3" w:rsidRPr="00DC0836" w:rsidRDefault="009962E3" w:rsidP="007F0901">
      <w:pPr>
        <w:pStyle w:val="NormalWeb"/>
        <w:shd w:val="clear" w:color="auto" w:fill="FFFFFF"/>
        <w:spacing w:before="0" w:beforeAutospacing="0" w:after="150" w:afterAutospacing="0" w:line="276" w:lineRule="auto"/>
        <w:ind w:left="360"/>
        <w:jc w:val="both"/>
      </w:pPr>
      <w:r w:rsidRPr="00DC0836">
        <w:t>The Polish Penal Code</w:t>
      </w:r>
      <w:r w:rsidRPr="00DC0836">
        <w:rPr>
          <w:rStyle w:val="FootnoteReference"/>
        </w:rPr>
        <w:footnoteReference w:id="38"/>
      </w:r>
      <w:r w:rsidRPr="00DC0836">
        <w:t xml:space="preserve"> clearly defines different types of hate speech and  prohibits public incitement “</w:t>
      </w:r>
      <w:r w:rsidRPr="00DC0836">
        <w:rPr>
          <w:color w:val="000000"/>
        </w:rPr>
        <w:t xml:space="preserve">to initiate a war of aggression” (Article 117), </w:t>
      </w:r>
      <w:r w:rsidRPr="00DC0836">
        <w:t>and no one shall</w:t>
      </w:r>
      <w:r w:rsidRPr="00DC0836">
        <w:rPr>
          <w:color w:val="000000"/>
        </w:rPr>
        <w:t xml:space="preserve"> publicly </w:t>
      </w:r>
      <w:r w:rsidRPr="00DC0836">
        <w:t xml:space="preserve">promote “... a fascist or other totalitarian system of states or incite hatred based on national, ethnic, race or religious differences or </w:t>
      </w:r>
      <w:r w:rsidRPr="00DC0836">
        <w:rPr>
          <w:color w:val="000000"/>
        </w:rPr>
        <w:t xml:space="preserve"> lack of any religious denomination</w:t>
      </w:r>
      <w:r w:rsidRPr="00DC0836">
        <w:t>” (Article 256)</w:t>
      </w:r>
      <w:r w:rsidRPr="00DC0836">
        <w:rPr>
          <w:color w:val="000000"/>
        </w:rPr>
        <w:t xml:space="preserve">. In addition, the Code stipulates that no one can publicly insult “...a group within the population or a particular person because of his national, ethnic, race or religious affiliation or because of his lack of any religious denomination” (Art. 257). </w:t>
      </w:r>
      <w:r w:rsidRPr="00DC0836">
        <w:t xml:space="preserve">  </w:t>
      </w:r>
    </w:p>
    <w:p w:rsidR="009962E3" w:rsidRPr="00DC0836" w:rsidRDefault="009962E3" w:rsidP="007F0901">
      <w:pPr>
        <w:pStyle w:val="NormalWeb"/>
        <w:shd w:val="clear" w:color="auto" w:fill="FFFFFF"/>
        <w:spacing w:before="0" w:beforeAutospacing="0" w:after="150" w:afterAutospacing="0" w:line="276" w:lineRule="auto"/>
        <w:ind w:left="360"/>
        <w:jc w:val="both"/>
      </w:pPr>
      <w:r w:rsidRPr="00DC0836">
        <w:t>Hate speech is also banned by the Polish Broadcasting Act of 1992</w:t>
      </w:r>
      <w:r w:rsidRPr="00DC0836">
        <w:rPr>
          <w:rStyle w:val="FootnoteReference"/>
        </w:rPr>
        <w:footnoteReference w:id="39"/>
      </w:r>
      <w:r w:rsidRPr="00DC0836">
        <w:t xml:space="preserve">, where Article 18 stipulates that programmes or other broadcasts “...may not encourage actions against the law or Poland’s </w:t>
      </w:r>
      <w:r w:rsidRPr="00DC0836">
        <w:rPr>
          <w:i/>
        </w:rPr>
        <w:t>raison d’Etat</w:t>
      </w:r>
      <w:r w:rsidRPr="00DC0836">
        <w:t xml:space="preserve"> (national interest)... in particular, they may not include contents inciting to hatred or discriminating on grounds of race, disability, sex, religion or nationality.”   </w:t>
      </w:r>
    </w:p>
    <w:p w:rsidR="009962E3" w:rsidRPr="00DC0836" w:rsidRDefault="009962E3" w:rsidP="007F0901">
      <w:pPr>
        <w:pStyle w:val="NormalWeb"/>
        <w:shd w:val="clear" w:color="auto" w:fill="FFFFFF"/>
        <w:spacing w:before="0" w:beforeAutospacing="0" w:after="150" w:afterAutospacing="0" w:line="276" w:lineRule="auto"/>
        <w:ind w:left="360"/>
        <w:jc w:val="both"/>
      </w:pPr>
    </w:p>
    <w:p w:rsidR="009962E3" w:rsidRPr="00DC0836" w:rsidRDefault="009962E3" w:rsidP="007F0901">
      <w:pPr>
        <w:pStyle w:val="Style14"/>
        <w:widowControl/>
        <w:numPr>
          <w:ilvl w:val="1"/>
          <w:numId w:val="42"/>
        </w:numPr>
        <w:spacing w:before="158" w:line="276" w:lineRule="auto"/>
        <w:rPr>
          <w:rStyle w:val="FontStyle38"/>
          <w:rFonts w:ascii="Times New Roman" w:hAnsi="Times New Roman"/>
          <w:i/>
          <w:sz w:val="24"/>
        </w:rPr>
      </w:pPr>
      <w:r w:rsidRPr="00DC0836">
        <w:rPr>
          <w:rStyle w:val="FontStyle38"/>
          <w:rFonts w:ascii="Times New Roman" w:hAnsi="Times New Roman"/>
          <w:i/>
          <w:sz w:val="24"/>
        </w:rPr>
        <w:t xml:space="preserve">KRRiT powers and practices related to hate speech </w:t>
      </w:r>
    </w:p>
    <w:p w:rsidR="009962E3" w:rsidRPr="00DC0836" w:rsidRDefault="009962E3" w:rsidP="007F0901">
      <w:pPr>
        <w:pStyle w:val="NormalWeb"/>
        <w:shd w:val="clear" w:color="auto" w:fill="FFFFFF"/>
        <w:spacing w:before="0" w:beforeAutospacing="0" w:after="150" w:afterAutospacing="0" w:line="276" w:lineRule="auto"/>
        <w:ind w:left="360"/>
        <w:jc w:val="both"/>
      </w:pPr>
    </w:p>
    <w:p w:rsidR="009962E3" w:rsidRPr="00DC0836" w:rsidRDefault="009962E3" w:rsidP="007F0901">
      <w:pPr>
        <w:pStyle w:val="NormalWeb"/>
        <w:shd w:val="clear" w:color="auto" w:fill="FFFFFF"/>
        <w:spacing w:before="0" w:beforeAutospacing="0" w:after="150" w:afterAutospacing="0" w:line="276" w:lineRule="auto"/>
        <w:ind w:left="360"/>
        <w:jc w:val="both"/>
        <w:rPr>
          <w:color w:val="000000"/>
        </w:rPr>
      </w:pPr>
      <w:r w:rsidRPr="00DC0836">
        <w:t xml:space="preserve">The Polish regulatory authority (KRRiT - </w:t>
      </w:r>
      <w:r w:rsidRPr="00DC0836">
        <w:rPr>
          <w:i/>
        </w:rPr>
        <w:t>Krajowa Rada Radiofonii i Telewizji</w:t>
      </w:r>
      <w:r w:rsidRPr="00DC0836">
        <w:t xml:space="preserve">) is empowered to monitor the content of both commercial and public broadcasters and to issue sanctions against audiovisual media services for breaching the Broadcasting Law (warnings, fines and revocation of licenses). </w:t>
      </w:r>
      <w:r w:rsidRPr="00DC0836">
        <w:rPr>
          <w:color w:val="000000"/>
        </w:rPr>
        <w:t xml:space="preserve">If a broadcaster fails to comply with the obligations laid down in Article 18, the Chairperson of the KRRiT shall issue a decision imposing a fine against the broadcaster at issue in the amount of up to 50% of the annual fee for the right to use the frequency allocated for providing the programme service (Article 53). </w:t>
      </w:r>
    </w:p>
    <w:p w:rsidR="009962E3" w:rsidRPr="00DC0836" w:rsidRDefault="009962E3" w:rsidP="007F0901">
      <w:pPr>
        <w:pStyle w:val="NormalWeb"/>
        <w:shd w:val="clear" w:color="auto" w:fill="FFFFFF"/>
        <w:spacing w:before="0" w:beforeAutospacing="0" w:after="150" w:afterAutospacing="0" w:line="276" w:lineRule="auto"/>
        <w:ind w:left="360"/>
        <w:jc w:val="both"/>
        <w:rPr>
          <w:color w:val="000000"/>
        </w:rPr>
      </w:pPr>
      <w:r w:rsidRPr="00DC0836">
        <w:rPr>
          <w:color w:val="000000"/>
        </w:rPr>
        <w:t>In 2012, following a complaint from two citizens, the KRRiT fined a rock radio station from Warsaw (Eska Rock SA</w:t>
      </w:r>
      <w:r w:rsidRPr="00DC0836">
        <w:rPr>
          <w:rStyle w:val="FootnoteReference"/>
          <w:color w:val="000000"/>
        </w:rPr>
        <w:t>)</w:t>
      </w:r>
      <w:r w:rsidRPr="00DC0836">
        <w:rPr>
          <w:rStyle w:val="FootnoteReference"/>
          <w:color w:val="000000"/>
        </w:rPr>
        <w:footnoteReference w:id="40"/>
      </w:r>
      <w:r w:rsidRPr="00DC0836">
        <w:rPr>
          <w:color w:val="000000"/>
        </w:rPr>
        <w:t xml:space="preserve"> (50,000 zl) for broadcasting a morning satirical show in which journalists made racist statements about a Polish citizen of Indian origin (Alvin Gajadhur). The programme was related to the coming end of the parliamentary election campaign. The journalists mentioned the name “Alvin Gajadhur” several times, using the adjective “black” in frequently used phraseological combinations (black coffee, black humor, etc.) and reminded the audience that Gajadhur had offended them some time ago and had spread hatred. In the next entry, journalists presented the opinions of experts who justified their earlier statements made  on the air. In the summary, the journalists connected the negative nature of the characteristics of a particular race and highlighted the otherness of the race and its inferior qualities. </w:t>
      </w:r>
    </w:p>
    <w:p w:rsidR="009962E3" w:rsidRPr="00DC0836" w:rsidRDefault="009962E3" w:rsidP="007F0901">
      <w:pPr>
        <w:pStyle w:val="NormalWeb"/>
        <w:shd w:val="clear" w:color="auto" w:fill="FFFFFF"/>
        <w:spacing w:before="0" w:beforeAutospacing="0" w:after="150" w:afterAutospacing="0" w:line="276" w:lineRule="auto"/>
        <w:ind w:left="360"/>
        <w:jc w:val="both"/>
        <w:rPr>
          <w:color w:val="000000"/>
        </w:rPr>
      </w:pPr>
    </w:p>
    <w:p w:rsidR="009962E3" w:rsidRPr="00DC0836" w:rsidRDefault="009962E3" w:rsidP="007F0901">
      <w:pPr>
        <w:numPr>
          <w:ilvl w:val="0"/>
          <w:numId w:val="42"/>
        </w:numPr>
        <w:spacing w:before="158"/>
        <w:ind w:left="360" w:firstLine="0"/>
        <w:rPr>
          <w:rFonts w:ascii="Times New Roman" w:hAnsi="Times New Roman" w:cs="Times New Roman"/>
          <w:b/>
          <w:sz w:val="24"/>
          <w:szCs w:val="24"/>
        </w:rPr>
      </w:pPr>
      <w:r>
        <w:rPr>
          <w:rFonts w:ascii="Times New Roman" w:hAnsi="Times New Roman" w:cs="Times New Roman"/>
          <w:b/>
          <w:sz w:val="24"/>
          <w:szCs w:val="24"/>
          <w:lang w:val="en-US"/>
        </w:rPr>
        <w:br w:type="page"/>
      </w:r>
      <w:r w:rsidRPr="00DC0836">
        <w:rPr>
          <w:rFonts w:ascii="Times New Roman" w:hAnsi="Times New Roman" w:cs="Times New Roman"/>
          <w:b/>
          <w:sz w:val="24"/>
          <w:szCs w:val="24"/>
          <w:lang w:val="en-US"/>
        </w:rPr>
        <w:t>Bosnia and Herzegovina</w:t>
      </w:r>
    </w:p>
    <w:p w:rsidR="009962E3" w:rsidRPr="00DC0836" w:rsidRDefault="009962E3" w:rsidP="007F0901">
      <w:pPr>
        <w:pStyle w:val="Style14"/>
        <w:widowControl/>
        <w:numPr>
          <w:ilvl w:val="1"/>
          <w:numId w:val="42"/>
        </w:numPr>
        <w:spacing w:before="158" w:line="276" w:lineRule="auto"/>
        <w:ind w:left="900" w:hanging="540"/>
        <w:rPr>
          <w:rStyle w:val="FontStyle38"/>
          <w:rFonts w:ascii="Times New Roman" w:hAnsi="Times New Roman"/>
          <w:i/>
          <w:sz w:val="24"/>
        </w:rPr>
      </w:pPr>
      <w:r w:rsidRPr="00DC0836">
        <w:rPr>
          <w:rStyle w:val="FontStyle38"/>
          <w:rFonts w:ascii="Times New Roman" w:hAnsi="Times New Roman"/>
          <w:i/>
          <w:sz w:val="24"/>
        </w:rPr>
        <w:t>Constitutional and legal framework</w:t>
      </w:r>
    </w:p>
    <w:p w:rsidR="009962E3" w:rsidRPr="00DC0836" w:rsidRDefault="009962E3" w:rsidP="007F0901">
      <w:pPr>
        <w:pStyle w:val="Style12"/>
        <w:widowControl/>
        <w:spacing w:before="173" w:line="276" w:lineRule="auto"/>
        <w:ind w:left="360" w:firstLine="0"/>
        <w:rPr>
          <w:rStyle w:val="FontStyle23"/>
          <w:rFonts w:ascii="Times New Roman" w:hAnsi="Times New Roman" w:cs="Times New Roman"/>
          <w:sz w:val="24"/>
        </w:rPr>
      </w:pPr>
      <w:r w:rsidRPr="00DC0836">
        <w:rPr>
          <w:rStyle w:val="FontStyle23"/>
          <w:rFonts w:ascii="Times New Roman" w:hAnsi="Times New Roman" w:cs="Times New Roman"/>
          <w:sz w:val="24"/>
        </w:rPr>
        <w:t xml:space="preserve">The Constitution of Bosnia and Herzegovina (BiH) was adopted as Annex 4 of the Dayton Peace Agreement and came into force with its signing in Paris on 14 December 1995.  The Constitution of Bosnia and Herzegovina provides that BiH shall be a democratic state operating under the rule of law and obliges the state and entity governments to ensure the highest level of internationally recognised human rights and fundamental freedoms. </w:t>
      </w:r>
    </w:p>
    <w:p w:rsidR="009962E3" w:rsidRPr="00DC0836" w:rsidRDefault="009962E3" w:rsidP="007F0901">
      <w:pPr>
        <w:pStyle w:val="Style12"/>
        <w:widowControl/>
        <w:spacing w:before="173" w:line="276" w:lineRule="auto"/>
        <w:ind w:left="360" w:firstLine="0"/>
        <w:rPr>
          <w:rStyle w:val="FontStyle23"/>
          <w:rFonts w:ascii="Times New Roman" w:hAnsi="Times New Roman" w:cs="Times New Roman"/>
          <w:sz w:val="24"/>
        </w:rPr>
      </w:pPr>
      <w:r w:rsidRPr="00DC0836">
        <w:rPr>
          <w:rStyle w:val="FontStyle23"/>
          <w:rFonts w:ascii="Times New Roman" w:hAnsi="Times New Roman" w:cs="Times New Roman"/>
          <w:sz w:val="24"/>
        </w:rPr>
        <w:t xml:space="preserve">The provisions related to hate speech can be found in four different acts that are part of the Criminal Law   of Bosnia and Herzegovina. These are Article </w:t>
      </w:r>
      <w:r w:rsidRPr="00DC0836">
        <w:rPr>
          <w:rStyle w:val="FontStyle23"/>
          <w:rFonts w:ascii="Times New Roman" w:hAnsi="Times New Roman" w:cs="Times New Roman"/>
          <w:sz w:val="24"/>
          <w:lang w:val="mk-MK"/>
        </w:rPr>
        <w:t xml:space="preserve">145a </w:t>
      </w:r>
      <w:r w:rsidRPr="00DC0836">
        <w:rPr>
          <w:rStyle w:val="FontStyle23"/>
          <w:rFonts w:ascii="Times New Roman" w:hAnsi="Times New Roman" w:cs="Times New Roman"/>
          <w:sz w:val="24"/>
        </w:rPr>
        <w:t>of the BiH Criminal Code</w:t>
      </w:r>
      <w:r w:rsidRPr="00DC0836">
        <w:rPr>
          <w:rStyle w:val="FontStyle23"/>
          <w:rFonts w:ascii="Times New Roman" w:hAnsi="Times New Roman" w:cs="Times New Roman"/>
          <w:sz w:val="24"/>
          <w:lang w:val="mk-MK"/>
        </w:rPr>
        <w:t xml:space="preserve">, </w:t>
      </w:r>
      <w:r w:rsidRPr="00DC0836">
        <w:rPr>
          <w:rStyle w:val="FontStyle23"/>
          <w:rFonts w:ascii="Times New Roman" w:hAnsi="Times New Roman" w:cs="Times New Roman"/>
          <w:sz w:val="24"/>
        </w:rPr>
        <w:t>Article</w:t>
      </w:r>
      <w:r w:rsidRPr="00DC0836">
        <w:rPr>
          <w:rStyle w:val="FontStyle23"/>
          <w:rFonts w:ascii="Times New Roman" w:hAnsi="Times New Roman" w:cs="Times New Roman"/>
          <w:sz w:val="24"/>
          <w:lang w:val="mk-MK"/>
        </w:rPr>
        <w:t xml:space="preserve"> 163 </w:t>
      </w:r>
      <w:r w:rsidRPr="00DC0836">
        <w:rPr>
          <w:rStyle w:val="FontStyle23"/>
          <w:rFonts w:ascii="Times New Roman" w:hAnsi="Times New Roman" w:cs="Times New Roman"/>
          <w:sz w:val="24"/>
        </w:rPr>
        <w:t xml:space="preserve">of the Criminal Code of the Federation of </w:t>
      </w:r>
      <w:r w:rsidRPr="00DC0836">
        <w:rPr>
          <w:rStyle w:val="FontStyle23"/>
          <w:rFonts w:ascii="Times New Roman" w:hAnsi="Times New Roman" w:cs="Times New Roman"/>
          <w:sz w:val="24"/>
          <w:lang w:val="mk-MK"/>
        </w:rPr>
        <w:t xml:space="preserve">BiH, </w:t>
      </w:r>
      <w:r w:rsidRPr="00DC0836">
        <w:rPr>
          <w:rStyle w:val="FontStyle23"/>
          <w:rFonts w:ascii="Times New Roman" w:hAnsi="Times New Roman" w:cs="Times New Roman"/>
          <w:sz w:val="24"/>
        </w:rPr>
        <w:t xml:space="preserve">Article </w:t>
      </w:r>
      <w:r w:rsidRPr="00DC0836">
        <w:rPr>
          <w:rStyle w:val="FontStyle23"/>
          <w:rFonts w:ascii="Times New Roman" w:hAnsi="Times New Roman" w:cs="Times New Roman"/>
          <w:sz w:val="24"/>
          <w:lang w:val="mk-MK"/>
        </w:rPr>
        <w:t xml:space="preserve">294a </w:t>
      </w:r>
      <w:r w:rsidRPr="00DC0836">
        <w:rPr>
          <w:rStyle w:val="FontStyle23"/>
          <w:rFonts w:ascii="Times New Roman" w:hAnsi="Times New Roman" w:cs="Times New Roman"/>
          <w:sz w:val="24"/>
        </w:rPr>
        <w:t xml:space="preserve">of the Criminal Code of the Republic of Srpska and Article </w:t>
      </w:r>
      <w:r w:rsidRPr="00DC0836">
        <w:rPr>
          <w:rStyle w:val="FontStyle23"/>
          <w:rFonts w:ascii="Times New Roman" w:hAnsi="Times New Roman" w:cs="Times New Roman"/>
          <w:sz w:val="24"/>
          <w:lang w:val="mk-MK"/>
        </w:rPr>
        <w:t xml:space="preserve">160 </w:t>
      </w:r>
      <w:r w:rsidRPr="00DC0836">
        <w:rPr>
          <w:rStyle w:val="FontStyle23"/>
          <w:rFonts w:ascii="Times New Roman" w:hAnsi="Times New Roman" w:cs="Times New Roman"/>
          <w:sz w:val="24"/>
        </w:rPr>
        <w:t xml:space="preserve">of the Criminal Code of the </w:t>
      </w:r>
      <w:r w:rsidRPr="00DC0836">
        <w:rPr>
          <w:rStyle w:val="FontStyle23"/>
          <w:rFonts w:ascii="Times New Roman" w:hAnsi="Times New Roman" w:cs="Times New Roman"/>
          <w:sz w:val="24"/>
          <w:lang w:val="mk-MK"/>
        </w:rPr>
        <w:t>Brčko Distri</w:t>
      </w:r>
      <w:r w:rsidRPr="00DC0836">
        <w:rPr>
          <w:rStyle w:val="FontStyle23"/>
          <w:rFonts w:ascii="Times New Roman" w:hAnsi="Times New Roman" w:cs="Times New Roman"/>
          <w:sz w:val="24"/>
        </w:rPr>
        <w:t xml:space="preserve">ct. Although different in their formulations and scope, all these provisions prohibit hate speech in the four jurisdictions of BiH. </w:t>
      </w:r>
    </w:p>
    <w:p w:rsidR="009962E3" w:rsidRPr="00DC0836" w:rsidRDefault="009962E3" w:rsidP="007F0901">
      <w:pPr>
        <w:spacing w:before="240"/>
        <w:ind w:left="360"/>
        <w:jc w:val="both"/>
        <w:rPr>
          <w:rFonts w:ascii="Times New Roman" w:hAnsi="Times New Roman" w:cs="Times New Roman"/>
          <w:color w:val="FF0000"/>
          <w:sz w:val="24"/>
          <w:szCs w:val="24"/>
        </w:rPr>
      </w:pPr>
      <w:r w:rsidRPr="00DC0836">
        <w:rPr>
          <w:rFonts w:ascii="Times New Roman" w:hAnsi="Times New Roman" w:cs="Times New Roman"/>
          <w:sz w:val="24"/>
          <w:szCs w:val="24"/>
        </w:rPr>
        <w:t xml:space="preserve">The Law on Communications of Bosnia and Herzegovina gives powers to the Council of the Communications Regulatory Agency (CRA) to adopt by-laws and codes on different regulatory topics. </w:t>
      </w:r>
      <w:r w:rsidRPr="00DC0836">
        <w:rPr>
          <w:rFonts w:ascii="Times New Roman" w:hAnsi="Times New Roman" w:cs="Times New Roman"/>
          <w:bCs/>
          <w:sz w:val="24"/>
          <w:szCs w:val="24"/>
        </w:rPr>
        <w:t xml:space="preserve">The Code on </w:t>
      </w:r>
      <w:r w:rsidRPr="00DC0836">
        <w:rPr>
          <w:rFonts w:ascii="Times New Roman" w:hAnsi="Times New Roman" w:cs="Times New Roman"/>
          <w:sz w:val="24"/>
          <w:szCs w:val="24"/>
        </w:rPr>
        <w:t>Audiovisual and Radio Media Services</w:t>
      </w:r>
      <w:r w:rsidRPr="00DC0836">
        <w:rPr>
          <w:rStyle w:val="FootnoteReference"/>
          <w:rFonts w:ascii="Times New Roman" w:hAnsi="Times New Roman"/>
          <w:sz w:val="24"/>
          <w:szCs w:val="24"/>
        </w:rPr>
        <w:footnoteReference w:id="41"/>
      </w:r>
      <w:r w:rsidRPr="00DC0836">
        <w:rPr>
          <w:rFonts w:ascii="Times New Roman" w:hAnsi="Times New Roman" w:cs="Times New Roman"/>
          <w:sz w:val="24"/>
          <w:szCs w:val="24"/>
        </w:rPr>
        <w:t xml:space="preserve">, adopted by CRA in November 2011, implements the provisions of the AVMS Directive into the national legislation. In its basic provisions related to general programme principles (Article 3), the Code explicitly stipulates that audiovisual and radio media services </w:t>
      </w:r>
      <w:r w:rsidRPr="00DC0836">
        <w:rPr>
          <w:rStyle w:val="Emphasis"/>
          <w:rFonts w:ascii="Times New Roman" w:hAnsi="Times New Roman"/>
          <w:i w:val="0"/>
          <w:sz w:val="24"/>
          <w:szCs w:val="24"/>
        </w:rPr>
        <w:t>shall respect</w:t>
      </w:r>
      <w:r w:rsidRPr="00DC0836">
        <w:rPr>
          <w:rFonts w:ascii="Times New Roman" w:hAnsi="Times New Roman" w:cs="Times New Roman"/>
          <w:sz w:val="24"/>
          <w:szCs w:val="24"/>
        </w:rPr>
        <w:t xml:space="preserve"> the </w:t>
      </w:r>
      <w:r w:rsidRPr="00DC0836">
        <w:rPr>
          <w:rStyle w:val="Emphasis"/>
          <w:rFonts w:ascii="Times New Roman" w:hAnsi="Times New Roman"/>
          <w:i w:val="0"/>
          <w:sz w:val="24"/>
          <w:szCs w:val="24"/>
        </w:rPr>
        <w:t>dignity</w:t>
      </w:r>
      <w:r w:rsidRPr="00DC0836">
        <w:rPr>
          <w:rFonts w:ascii="Times New Roman" w:hAnsi="Times New Roman" w:cs="Times New Roman"/>
          <w:sz w:val="24"/>
          <w:szCs w:val="24"/>
        </w:rPr>
        <w:t xml:space="preserve"> of the </w:t>
      </w:r>
      <w:r w:rsidRPr="00DC0836">
        <w:rPr>
          <w:rStyle w:val="Emphasis"/>
          <w:rFonts w:ascii="Times New Roman" w:hAnsi="Times New Roman"/>
          <w:i w:val="0"/>
          <w:sz w:val="24"/>
          <w:szCs w:val="24"/>
        </w:rPr>
        <w:t>human</w:t>
      </w:r>
      <w:r w:rsidRPr="00DC0836">
        <w:rPr>
          <w:rFonts w:ascii="Times New Roman" w:hAnsi="Times New Roman" w:cs="Times New Roman"/>
          <w:sz w:val="24"/>
          <w:szCs w:val="24"/>
        </w:rPr>
        <w:t xml:space="preserve"> being and the </w:t>
      </w:r>
      <w:r w:rsidRPr="00DC0836">
        <w:rPr>
          <w:rStyle w:val="Emphasis"/>
          <w:rFonts w:ascii="Times New Roman" w:hAnsi="Times New Roman"/>
          <w:i w:val="0"/>
          <w:sz w:val="24"/>
          <w:szCs w:val="24"/>
        </w:rPr>
        <w:t>fundamental rights</w:t>
      </w:r>
      <w:r w:rsidRPr="00DC0836">
        <w:rPr>
          <w:rFonts w:ascii="Times New Roman" w:hAnsi="Times New Roman" w:cs="Times New Roman"/>
          <w:sz w:val="24"/>
          <w:szCs w:val="24"/>
        </w:rPr>
        <w:t xml:space="preserve"> of others and shall ensure that their content respects ethnic, cultural and religious differences in Bosnia and Herzegovina. Further on, the Code  stipulates that media content providers </w:t>
      </w:r>
      <w:r w:rsidRPr="00DC0836">
        <w:rPr>
          <w:rFonts w:ascii="Times New Roman" w:hAnsi="Times New Roman" w:cs="Times New Roman"/>
          <w:sz w:val="24"/>
          <w:szCs w:val="24"/>
          <w:lang w:val="bs-Latn-BA"/>
        </w:rPr>
        <w:t xml:space="preserve">shall not provide any content that includes any discrimination or prejudice </w:t>
      </w:r>
      <w:r w:rsidRPr="00DC0836">
        <w:rPr>
          <w:rFonts w:ascii="Times New Roman" w:hAnsi="Times New Roman" w:cs="Times New Roman"/>
          <w:iCs/>
          <w:snapToGrid w:val="0"/>
          <w:sz w:val="24"/>
          <w:szCs w:val="24"/>
        </w:rPr>
        <w:t xml:space="preserve">based on sex, race, ethnicity, nationality, </w:t>
      </w:r>
      <w:r w:rsidRPr="00DC0836">
        <w:rPr>
          <w:rFonts w:ascii="Times New Roman" w:hAnsi="Times New Roman" w:cs="Times New Roman"/>
          <w:sz w:val="24"/>
          <w:szCs w:val="24"/>
        </w:rPr>
        <w:t xml:space="preserve">religion or belief, disability, special needs, age, sexual orientation, social background, or any other content which has the purpose or effect to nullify or to impair the recognition, enjoyment or exercise, on an equal footing, of any person’s rights and freedoms (Article 3). In addition, audiovisual and radio media services are not allowed to convey any material which carries a clear and immediate risk of causing harmful effects, including, but not limited to death, injury, damage to property or other types of violence, or the diversion of police, medical services or other forces of public order from their normal duties (Article 3).  </w:t>
      </w:r>
    </w:p>
    <w:p w:rsidR="009962E3" w:rsidRPr="00DC0836" w:rsidRDefault="009962E3" w:rsidP="007F0901">
      <w:pPr>
        <w:pStyle w:val="NormalWeb"/>
        <w:spacing w:before="0" w:beforeAutospacing="0" w:after="0" w:afterAutospacing="0" w:line="276" w:lineRule="auto"/>
        <w:ind w:left="360"/>
        <w:jc w:val="both"/>
        <w:rPr>
          <w:lang w:val="en-GB"/>
        </w:rPr>
      </w:pPr>
      <w:r w:rsidRPr="00DC0836">
        <w:t>The Code contains a separate article with a detailed definition of hate speech (Article 4). Providers of audiovisual media services</w:t>
      </w:r>
      <w:r w:rsidRPr="00DC0836">
        <w:rPr>
          <w:iCs/>
          <w:snapToGrid w:val="0"/>
          <w:lang w:val="en-GB"/>
        </w:rPr>
        <w:t xml:space="preserve"> “shall not demean or intimidate anyone and shall not incite to violence or discrimination against a person or a group based on sex, race, ethnicity, nationality, </w:t>
      </w:r>
      <w:r w:rsidRPr="00DC0836">
        <w:rPr>
          <w:lang w:val="en-GB"/>
        </w:rPr>
        <w:t>religion or belief, disability, special needs, age, sexual orientation, social background or any other circumstance which has the purpose or effect to nullify or to impair the recognition, enjoyment or exercise, on an equal footing, of any person’s rights and freedoms”. In its second paragraph, Article 4 stipulates that a</w:t>
      </w:r>
      <w:r w:rsidRPr="00DC0836">
        <w:t>udiovisual media services</w:t>
      </w:r>
      <w:r w:rsidRPr="00DC0836">
        <w:rPr>
          <w:iCs/>
          <w:snapToGrid w:val="0"/>
          <w:lang w:val="en-GB"/>
        </w:rPr>
        <w:t xml:space="preserve"> “shall not include material which carries </w:t>
      </w:r>
      <w:r w:rsidRPr="00DC0836">
        <w:rPr>
          <w:lang w:val="en-GB"/>
        </w:rPr>
        <w:t>a clear and immediate risk of inciting ethnic or religious hatred in Bosnia and Herzegovina, or which could be interpreted by the public as incitement to violence, disorder or rioting, or which could lead to or encourage criminal activities.”</w:t>
      </w:r>
    </w:p>
    <w:p w:rsidR="009962E3" w:rsidRPr="00DC0836" w:rsidRDefault="009962E3" w:rsidP="007F0901">
      <w:pPr>
        <w:ind w:left="720" w:hanging="720"/>
        <w:jc w:val="both"/>
        <w:rPr>
          <w:rFonts w:ascii="Times New Roman" w:hAnsi="Times New Roman" w:cs="Times New Roman"/>
          <w:sz w:val="24"/>
          <w:szCs w:val="24"/>
        </w:rPr>
      </w:pPr>
    </w:p>
    <w:p w:rsidR="009962E3" w:rsidRPr="00DC0836" w:rsidRDefault="009962E3" w:rsidP="007F0901">
      <w:pPr>
        <w:pStyle w:val="Style14"/>
        <w:widowControl/>
        <w:numPr>
          <w:ilvl w:val="1"/>
          <w:numId w:val="42"/>
        </w:numPr>
        <w:spacing w:before="158" w:line="276" w:lineRule="auto"/>
        <w:rPr>
          <w:rStyle w:val="FontStyle38"/>
          <w:rFonts w:ascii="Times New Roman" w:hAnsi="Times New Roman"/>
          <w:i/>
          <w:sz w:val="24"/>
        </w:rPr>
      </w:pPr>
      <w:r w:rsidRPr="00DC0836">
        <w:rPr>
          <w:rStyle w:val="FontStyle38"/>
          <w:rFonts w:ascii="Times New Roman" w:hAnsi="Times New Roman"/>
          <w:i/>
          <w:sz w:val="24"/>
        </w:rPr>
        <w:t xml:space="preserve">CRA powers and practices related to hate speech </w:t>
      </w:r>
    </w:p>
    <w:p w:rsidR="009962E3" w:rsidRPr="00DC0836" w:rsidRDefault="009962E3" w:rsidP="007F0901">
      <w:pPr>
        <w:pStyle w:val="Style12"/>
        <w:widowControl/>
        <w:tabs>
          <w:tab w:val="left" w:pos="360"/>
        </w:tabs>
        <w:spacing w:before="173" w:line="276" w:lineRule="auto"/>
        <w:ind w:left="360" w:firstLine="0"/>
        <w:rPr>
          <w:rFonts w:ascii="Times New Roman" w:hAnsi="Times New Roman" w:cs="Times New Roman"/>
          <w:bCs/>
          <w:color w:val="333333"/>
        </w:rPr>
      </w:pPr>
      <w:r w:rsidRPr="00DC0836">
        <w:rPr>
          <w:rFonts w:ascii="Times New Roman" w:hAnsi="Times New Roman" w:cs="Times New Roman"/>
          <w:color w:val="333333"/>
        </w:rPr>
        <w:t xml:space="preserve">The Communications Regulatory Agency (CRA) was established in 2001, undertaking the competences of the Independent Media Commission and the Telecommunications Regulatory Agency. The CRA mandate is defined by the Law on Communications of Bosnia and Herzegovina as a  regulator with combined competencies, developed on the model of similar regulators in other European countries. </w:t>
      </w:r>
      <w:r w:rsidRPr="00DC0836">
        <w:rPr>
          <w:rFonts w:ascii="Times New Roman" w:hAnsi="Times New Roman" w:cs="Times New Roman"/>
          <w:bCs/>
          <w:color w:val="333333"/>
        </w:rPr>
        <w:t xml:space="preserve">In the field of broadcasting, CRA has explicit powers to conduct monitoring over the programme standards and impose measures against the audiovisual media service providers who do not comply with the provisions of the Law on Communications. The Agency has legislative powers as well, i.e. it can develop and adopt by-laws (rules, codes etc.) related to programmes standards. </w:t>
      </w:r>
    </w:p>
    <w:p w:rsidR="009962E3" w:rsidRPr="00DC0836" w:rsidRDefault="009962E3" w:rsidP="007F0901">
      <w:pPr>
        <w:pStyle w:val="Style12"/>
        <w:widowControl/>
        <w:tabs>
          <w:tab w:val="left" w:pos="360"/>
        </w:tabs>
        <w:spacing w:before="173" w:line="276" w:lineRule="auto"/>
        <w:ind w:left="360" w:firstLine="0"/>
        <w:rPr>
          <w:rFonts w:ascii="Times New Roman" w:hAnsi="Times New Roman" w:cs="Times New Roman"/>
          <w:lang w:val="en-GB"/>
        </w:rPr>
      </w:pPr>
      <w:r w:rsidRPr="00DC0836">
        <w:rPr>
          <w:rFonts w:ascii="Times New Roman" w:hAnsi="Times New Roman" w:cs="Times New Roman"/>
          <w:bCs/>
          <w:color w:val="333333"/>
        </w:rPr>
        <w:t xml:space="preserve">The detailed provision on hate speech in the Code on </w:t>
      </w:r>
      <w:r w:rsidRPr="00DC0836">
        <w:rPr>
          <w:rFonts w:ascii="Times New Roman" w:hAnsi="Times New Roman" w:cs="Times New Roman"/>
          <w:lang w:val="en-GB"/>
        </w:rPr>
        <w:t xml:space="preserve">Audiovisual and Radio Media Services gives the CRA ground to assess thoroughly whether some specific content involves hate speech. In this, CRA takes into account: the </w:t>
      </w:r>
      <w:r w:rsidRPr="00DC0836">
        <w:rPr>
          <w:rFonts w:ascii="Times New Roman" w:hAnsi="Times New Roman" w:cs="Times New Roman"/>
          <w:i/>
          <w:lang w:val="en-GB"/>
        </w:rPr>
        <w:t>source</w:t>
      </w:r>
      <w:r w:rsidRPr="00DC0836">
        <w:rPr>
          <w:rFonts w:ascii="Times New Roman" w:hAnsi="Times New Roman" w:cs="Times New Roman"/>
          <w:lang w:val="en-GB"/>
        </w:rPr>
        <w:t xml:space="preserve"> of such speech, the </w:t>
      </w:r>
      <w:r w:rsidRPr="00DC0836">
        <w:rPr>
          <w:rFonts w:ascii="Times New Roman" w:hAnsi="Times New Roman" w:cs="Times New Roman"/>
          <w:i/>
          <w:lang w:val="en-GB"/>
        </w:rPr>
        <w:t>context</w:t>
      </w:r>
      <w:r w:rsidRPr="00DC0836">
        <w:rPr>
          <w:rFonts w:ascii="Times New Roman" w:hAnsi="Times New Roman" w:cs="Times New Roman"/>
          <w:lang w:val="en-GB"/>
        </w:rPr>
        <w:t xml:space="preserve"> in which it has been made available to the public - whether the journalist/editor has emphasized that such speech does not reflect their editorial policy; whether the journalist/editor has pointed out that such hate speech could have negative consequences in society; or, on the contrary, whether the journalist/editor has made a commentary that has added fuel to that specific form of hate speech. Broadcasters’ responsibility is the heaviest when the journalist/reporter knowingly or deliberately provokes or uses hate speech.  </w:t>
      </w:r>
    </w:p>
    <w:p w:rsidR="009962E3" w:rsidRPr="00DC0836" w:rsidRDefault="009962E3" w:rsidP="007F0901">
      <w:pPr>
        <w:pStyle w:val="Style12"/>
        <w:widowControl/>
        <w:tabs>
          <w:tab w:val="left" w:pos="360"/>
        </w:tabs>
        <w:spacing w:before="173" w:line="276" w:lineRule="auto"/>
        <w:ind w:left="360" w:firstLine="0"/>
        <w:rPr>
          <w:rFonts w:ascii="Times New Roman" w:hAnsi="Times New Roman" w:cs="Times New Roman"/>
          <w:lang w:val="en-GB"/>
        </w:rPr>
      </w:pPr>
      <w:r w:rsidRPr="00DC0836">
        <w:rPr>
          <w:rFonts w:ascii="Times New Roman" w:hAnsi="Times New Roman" w:cs="Times New Roman"/>
          <w:lang w:val="en-GB"/>
        </w:rPr>
        <w:t>So far, CRA has reported several cases of identified hate speech in the audiovisual media:</w:t>
      </w:r>
    </w:p>
    <w:p w:rsidR="009962E3" w:rsidRPr="00DC0836" w:rsidRDefault="009962E3" w:rsidP="007F0901">
      <w:pPr>
        <w:pStyle w:val="Style12"/>
        <w:widowControl/>
        <w:numPr>
          <w:ilvl w:val="0"/>
          <w:numId w:val="44"/>
        </w:numPr>
        <w:tabs>
          <w:tab w:val="left" w:pos="360"/>
        </w:tabs>
        <w:spacing w:before="173" w:line="276" w:lineRule="auto"/>
        <w:rPr>
          <w:rFonts w:ascii="Times New Roman" w:hAnsi="Times New Roman" w:cs="Times New Roman"/>
          <w:bCs/>
          <w:color w:val="333333"/>
        </w:rPr>
      </w:pPr>
      <w:r w:rsidRPr="00DC0836">
        <w:rPr>
          <w:rFonts w:ascii="Times New Roman" w:hAnsi="Times New Roman" w:cs="Times New Roman"/>
          <w:lang w:val="en-GB"/>
        </w:rPr>
        <w:t>In 2012, the CRA undertook measures</w:t>
      </w:r>
      <w:r w:rsidRPr="00DC0836">
        <w:rPr>
          <w:rStyle w:val="FootnoteReference"/>
          <w:rFonts w:ascii="Times New Roman" w:hAnsi="Times New Roman"/>
          <w:lang w:val="en-GB"/>
        </w:rPr>
        <w:footnoteReference w:id="42"/>
      </w:r>
      <w:r w:rsidRPr="00DC0836">
        <w:rPr>
          <w:rFonts w:ascii="Times New Roman" w:hAnsi="Times New Roman" w:cs="Times New Roman"/>
          <w:lang w:val="en-GB"/>
        </w:rPr>
        <w:t xml:space="preserve"> against the TV station TV Pink (BiH) for broadcasting the talk-show titled “Forbidden Forum” focused on gender change, during which viewers’ SMS messages were displayed on the screen. Some of the SMS messages contained extremely hateful and discriminatory language and, according to the CRA Code, the broadcaster is responsible for all content including the SMS messages sent by the audience. The CRA assessed that the TV station should have predicted the consequences of the discussion on such a sensitive topic and should have organised itself to review the messages in order to prevent statements that may incite to hatred and violence. The TV station refused to take responsibility for the violation, arguing that its role was only to convey the messages, which added to the severity of the violation. Several months later, the TV station broadcasted the same TV show again, but this time it was focused on the topic of gay marriages. Again, SMS messages with provocative speech were aired on the screen, but this time some of the messages were read by the host of the TV show. The broadcaster admitted the second violation, justifying it as a technical oversight.                       </w:t>
      </w:r>
    </w:p>
    <w:p w:rsidR="009962E3" w:rsidRPr="00DC0836" w:rsidRDefault="009962E3" w:rsidP="007F0901">
      <w:pPr>
        <w:pStyle w:val="Style12"/>
        <w:widowControl/>
        <w:tabs>
          <w:tab w:val="left" w:pos="360"/>
        </w:tabs>
        <w:spacing w:before="173" w:line="276" w:lineRule="auto"/>
        <w:ind w:left="360" w:firstLine="0"/>
        <w:rPr>
          <w:rStyle w:val="FontStyle23"/>
          <w:rFonts w:ascii="Times New Roman" w:hAnsi="Times New Roman" w:cs="Times New Roman"/>
          <w:sz w:val="24"/>
        </w:rPr>
      </w:pPr>
      <w:r w:rsidRPr="00DC0836">
        <w:rPr>
          <w:rFonts w:ascii="Times New Roman" w:hAnsi="Times New Roman" w:cs="Times New Roman"/>
          <w:bCs/>
          <w:color w:val="333333"/>
        </w:rPr>
        <w:t xml:space="preserve">  </w:t>
      </w:r>
    </w:p>
    <w:p w:rsidR="009962E3" w:rsidRPr="00DC0836" w:rsidRDefault="009962E3" w:rsidP="007F0901">
      <w:pPr>
        <w:pStyle w:val="Style14"/>
        <w:widowControl/>
        <w:tabs>
          <w:tab w:val="left" w:pos="360"/>
        </w:tabs>
        <w:spacing w:before="158" w:line="276" w:lineRule="auto"/>
        <w:ind w:left="360" w:firstLine="0"/>
        <w:rPr>
          <w:rStyle w:val="FontStyle38"/>
          <w:rFonts w:ascii="Times New Roman" w:hAnsi="Times New Roman"/>
          <w:i/>
          <w:sz w:val="24"/>
        </w:rPr>
      </w:pPr>
    </w:p>
    <w:p w:rsidR="009962E3" w:rsidRPr="00DC0836" w:rsidRDefault="009962E3" w:rsidP="007F0901">
      <w:pPr>
        <w:numPr>
          <w:ilvl w:val="0"/>
          <w:numId w:val="42"/>
        </w:numPr>
        <w:spacing w:before="158"/>
        <w:ind w:left="360" w:firstLine="0"/>
        <w:rPr>
          <w:rFonts w:ascii="Times New Roman" w:hAnsi="Times New Roman" w:cs="Times New Roman"/>
          <w:b/>
          <w:sz w:val="24"/>
          <w:szCs w:val="24"/>
        </w:rPr>
      </w:pPr>
      <w:r w:rsidRPr="00DC0836">
        <w:rPr>
          <w:rFonts w:ascii="Times New Roman" w:hAnsi="Times New Roman" w:cs="Times New Roman"/>
          <w:b/>
          <w:sz w:val="24"/>
          <w:szCs w:val="24"/>
          <w:lang w:val="en-US"/>
        </w:rPr>
        <w:t>Ireland</w:t>
      </w:r>
    </w:p>
    <w:p w:rsidR="009962E3" w:rsidRPr="00DC0836" w:rsidRDefault="009962E3" w:rsidP="007F0901">
      <w:pPr>
        <w:pStyle w:val="Style14"/>
        <w:widowControl/>
        <w:numPr>
          <w:ilvl w:val="1"/>
          <w:numId w:val="42"/>
        </w:numPr>
        <w:spacing w:before="158" w:line="276" w:lineRule="auto"/>
        <w:ind w:left="900" w:hanging="540"/>
        <w:rPr>
          <w:rStyle w:val="FontStyle38"/>
          <w:rFonts w:ascii="Times New Roman" w:hAnsi="Times New Roman"/>
          <w:i/>
          <w:sz w:val="24"/>
        </w:rPr>
      </w:pPr>
      <w:r w:rsidRPr="00DC0836">
        <w:rPr>
          <w:rStyle w:val="FontStyle38"/>
          <w:rFonts w:ascii="Times New Roman" w:hAnsi="Times New Roman"/>
          <w:i/>
          <w:sz w:val="24"/>
        </w:rPr>
        <w:t>Constitutional and legal framework</w:t>
      </w:r>
    </w:p>
    <w:p w:rsidR="009962E3" w:rsidRPr="00DC0836" w:rsidRDefault="009962E3" w:rsidP="007F0901">
      <w:pPr>
        <w:pStyle w:val="Style14"/>
        <w:spacing w:before="158" w:line="276" w:lineRule="auto"/>
        <w:ind w:left="720" w:firstLine="5"/>
        <w:rPr>
          <w:rFonts w:ascii="Times New Roman" w:hAnsi="Times New Roman"/>
          <w:shd w:val="clear" w:color="auto" w:fill="FFFFFF"/>
        </w:rPr>
      </w:pPr>
      <w:r w:rsidRPr="00DC0836">
        <w:rPr>
          <w:rFonts w:ascii="Times New Roman" w:hAnsi="Times New Roman"/>
          <w:shd w:val="clear" w:color="auto" w:fill="FFFFFF"/>
        </w:rPr>
        <w:t xml:space="preserve">Article 40.1 of the Constitution of Ireland provides that “All citizens shall, as human persons, be equal before the law.”  The Prohibition of Incitement to Hatred Act 1989 creates five different offences concerning incitement to hatred. In this Act, ‘hatred’ means “hatred against a group of persons in the State or elsewhere on account of their race, colour, nationality, religion, ethnic or national origins, membership of the travelling community or sexual orientation.”   </w:t>
      </w:r>
    </w:p>
    <w:p w:rsidR="009962E3" w:rsidRPr="00DC0836" w:rsidRDefault="009962E3" w:rsidP="007F0901">
      <w:pPr>
        <w:pStyle w:val="Style14"/>
        <w:spacing w:before="158" w:line="276" w:lineRule="auto"/>
        <w:ind w:left="720" w:firstLine="5"/>
        <w:rPr>
          <w:rFonts w:ascii="Times New Roman" w:hAnsi="Times New Roman"/>
          <w:shd w:val="clear" w:color="auto" w:fill="FFFFFF"/>
        </w:rPr>
      </w:pPr>
      <w:r w:rsidRPr="00DC0836">
        <w:rPr>
          <w:rFonts w:ascii="Times New Roman" w:hAnsi="Times New Roman"/>
          <w:shd w:val="clear" w:color="auto" w:fill="FFFFFF"/>
        </w:rPr>
        <w:t>The 2009 Broadcasting Act states that every broadcaster shall ensure that anything which may reasonably be regarded as causing harm or offence, or as being likely to encourage or incite crime or as tending to undermine the authority of the State, is not broadcast by the broadcaster (Section 39d).</w:t>
      </w:r>
    </w:p>
    <w:p w:rsidR="009962E3" w:rsidRPr="00DC0836" w:rsidRDefault="009962E3" w:rsidP="007F0901">
      <w:pPr>
        <w:pStyle w:val="Style14"/>
        <w:widowControl/>
        <w:spacing w:before="158" w:line="276" w:lineRule="auto"/>
        <w:ind w:left="720" w:firstLine="5"/>
        <w:rPr>
          <w:rFonts w:ascii="Times New Roman" w:hAnsi="Times New Roman"/>
          <w:shd w:val="clear" w:color="auto" w:fill="FFFFFF"/>
        </w:rPr>
      </w:pPr>
      <w:r w:rsidRPr="00DC0836">
        <w:rPr>
          <w:rFonts w:ascii="Times New Roman" w:hAnsi="Times New Roman"/>
          <w:shd w:val="clear" w:color="auto" w:fill="FFFFFF"/>
        </w:rPr>
        <w:t>Section 42 of the</w:t>
      </w:r>
      <w:r w:rsidRPr="00DC0836">
        <w:rPr>
          <w:rStyle w:val="apple-converted-space"/>
          <w:rFonts w:ascii="Times New Roman" w:hAnsi="Times New Roman"/>
          <w:shd w:val="clear" w:color="auto" w:fill="FFFFFF"/>
        </w:rPr>
        <w:t> </w:t>
      </w:r>
      <w:hyperlink r:id="rId11" w:history="1">
        <w:r w:rsidRPr="00DC0836">
          <w:rPr>
            <w:rStyle w:val="Hyperlink"/>
            <w:rFonts w:ascii="Times New Roman" w:hAnsi="Times New Roman"/>
            <w:shd w:val="clear" w:color="auto" w:fill="FFFFFF"/>
          </w:rPr>
          <w:t>Broadcasting Act 2009</w:t>
        </w:r>
      </w:hyperlink>
      <w:r w:rsidRPr="00DC0836">
        <w:rPr>
          <w:rStyle w:val="apple-converted-space"/>
          <w:rFonts w:ascii="Times New Roman" w:hAnsi="Times New Roman"/>
          <w:shd w:val="clear" w:color="auto" w:fill="FFFFFF"/>
        </w:rPr>
        <w:t> </w:t>
      </w:r>
      <w:r w:rsidRPr="00DC0836">
        <w:rPr>
          <w:rFonts w:ascii="Times New Roman" w:hAnsi="Times New Roman"/>
          <w:shd w:val="clear" w:color="auto" w:fill="FFFFFF"/>
        </w:rPr>
        <w:t>instructs the Broadcasting Authority of Ireland to prepare and revise the Broadcasting Codes that govern the standards and practices to be observed by the broadcasters. The Code of Programme Standards</w:t>
      </w:r>
      <w:r w:rsidRPr="00DC0836">
        <w:rPr>
          <w:rStyle w:val="FootnoteReference"/>
          <w:rFonts w:ascii="Times New Roman" w:hAnsi="Times New Roman"/>
          <w:shd w:val="clear" w:color="auto" w:fill="FFFFFF"/>
        </w:rPr>
        <w:footnoteReference w:id="43"/>
      </w:r>
      <w:r w:rsidRPr="00DC0836">
        <w:rPr>
          <w:rFonts w:ascii="Times New Roman" w:hAnsi="Times New Roman"/>
          <w:shd w:val="clear" w:color="auto" w:fill="FFFFFF"/>
        </w:rPr>
        <w:t xml:space="preserve"> and the respective Guidance</w:t>
      </w:r>
      <w:r w:rsidRPr="00DC0836">
        <w:rPr>
          <w:rStyle w:val="FootnoteReference"/>
          <w:rFonts w:ascii="Times New Roman" w:hAnsi="Times New Roman"/>
          <w:shd w:val="clear" w:color="auto" w:fill="FFFFFF"/>
        </w:rPr>
        <w:footnoteReference w:id="44"/>
      </w:r>
      <w:r w:rsidRPr="00DC0836">
        <w:rPr>
          <w:rFonts w:ascii="Times New Roman" w:hAnsi="Times New Roman"/>
          <w:shd w:val="clear" w:color="auto" w:fill="FFFFFF"/>
        </w:rPr>
        <w:t xml:space="preserve"> address the concepts of taste, decency, harm and offence with regard to radio and television broadcasting.</w:t>
      </w:r>
    </w:p>
    <w:p w:rsidR="009962E3" w:rsidRPr="00DC0836" w:rsidRDefault="009962E3" w:rsidP="007F0901">
      <w:pPr>
        <w:pStyle w:val="Style14"/>
        <w:widowControl/>
        <w:spacing w:before="158" w:line="276" w:lineRule="auto"/>
        <w:ind w:left="720" w:firstLine="5"/>
        <w:rPr>
          <w:rStyle w:val="FontStyle38"/>
          <w:rFonts w:ascii="Times New Roman" w:hAnsi="Times New Roman"/>
          <w:sz w:val="24"/>
        </w:rPr>
      </w:pPr>
      <w:r w:rsidRPr="00DC0836">
        <w:rPr>
          <w:rFonts w:ascii="Times New Roman" w:hAnsi="Times New Roman"/>
          <w:shd w:val="clear" w:color="auto" w:fill="FFFFFF"/>
        </w:rPr>
        <w:t>Rule 3.4 of the Code refers to the representation of Persons and Groups in the society. It stipulates that p</w:t>
      </w:r>
      <w:r w:rsidRPr="00DC0836">
        <w:rPr>
          <w:rStyle w:val="FontStyle38"/>
          <w:rFonts w:ascii="Times New Roman" w:hAnsi="Times New Roman"/>
          <w:sz w:val="24"/>
        </w:rPr>
        <w:t xml:space="preserve">rogramme material shall not support or condone discrimination against any person or section of the community, in particular on the basis of age, gender, marital status, membership of the Traveller community, family status, sexual orientation, disability, race or religion. In addition, broadcasters are obliged to prevent undue offence in the treatment of religious views, beliefs or images during programme material, but this is not intended to prevent the critical scrutiny of religion. </w:t>
      </w:r>
    </w:p>
    <w:p w:rsidR="009962E3" w:rsidRPr="00DC0836" w:rsidRDefault="009962E3" w:rsidP="007F0901">
      <w:pPr>
        <w:pStyle w:val="Style14"/>
        <w:widowControl/>
        <w:spacing w:before="158" w:line="276" w:lineRule="auto"/>
        <w:ind w:left="720" w:firstLine="5"/>
        <w:rPr>
          <w:rStyle w:val="FontStyle38"/>
          <w:rFonts w:ascii="Times New Roman" w:hAnsi="Times New Roman"/>
          <w:sz w:val="24"/>
        </w:rPr>
      </w:pPr>
      <w:r w:rsidRPr="00DC0836">
        <w:rPr>
          <w:rStyle w:val="FontStyle38"/>
          <w:rFonts w:ascii="Times New Roman" w:hAnsi="Times New Roman"/>
          <w:sz w:val="24"/>
        </w:rPr>
        <w:t xml:space="preserve">Rule 3.5 relates to factual programming, news, current affairs and documentaries. First, it is stated that factual programming shall not contain material that could prejudice respect for human dignity. Next, the same article provides that factual programming shall not contain material that could cause undue distress or offence unless it is editorially justified and in the public interest. It further stipulates that factual programming shall emphasize age, colour, gender, national or ethnic origin, disability, race, religion or sexual orientation only when such references are justified in the context of the programme or in the public interest. Also, deceased persons have to be treated with respect. The moment of death shall not be shown nor shall the deceased be shown in close-up, unless, in exceptional circumstances, it may be justified in the public interest. </w:t>
      </w:r>
    </w:p>
    <w:p w:rsidR="009962E3" w:rsidRPr="00DC0836" w:rsidRDefault="009962E3" w:rsidP="007F0901">
      <w:pPr>
        <w:pStyle w:val="Style14"/>
        <w:widowControl/>
        <w:spacing w:before="158" w:line="276" w:lineRule="auto"/>
        <w:ind w:left="720" w:firstLine="5"/>
        <w:rPr>
          <w:rStyle w:val="FontStyle38"/>
          <w:rFonts w:ascii="Times New Roman" w:hAnsi="Times New Roman"/>
          <w:sz w:val="24"/>
        </w:rPr>
      </w:pPr>
    </w:p>
    <w:p w:rsidR="009962E3" w:rsidRPr="00DC0836" w:rsidRDefault="009962E3" w:rsidP="007F0901">
      <w:pPr>
        <w:pStyle w:val="Style14"/>
        <w:widowControl/>
        <w:numPr>
          <w:ilvl w:val="1"/>
          <w:numId w:val="42"/>
        </w:numPr>
        <w:spacing w:before="158" w:line="276" w:lineRule="auto"/>
        <w:rPr>
          <w:rStyle w:val="FontStyle38"/>
          <w:rFonts w:ascii="Times New Roman" w:hAnsi="Times New Roman"/>
          <w:i/>
          <w:sz w:val="24"/>
        </w:rPr>
      </w:pPr>
      <w:r w:rsidRPr="00DC0836">
        <w:rPr>
          <w:rStyle w:val="FontStyle38"/>
          <w:rFonts w:ascii="Times New Roman" w:hAnsi="Times New Roman"/>
          <w:i/>
          <w:sz w:val="24"/>
        </w:rPr>
        <w:t xml:space="preserve">BAI powers and practices related to hate speech </w:t>
      </w:r>
    </w:p>
    <w:p w:rsidR="009962E3" w:rsidRPr="00DC0836" w:rsidRDefault="009962E3" w:rsidP="007F0901">
      <w:pPr>
        <w:pStyle w:val="NormalWeb"/>
        <w:shd w:val="clear" w:color="auto" w:fill="FFFFFF"/>
        <w:spacing w:before="0" w:beforeAutospacing="0" w:after="150" w:afterAutospacing="0" w:line="276" w:lineRule="auto"/>
        <w:jc w:val="both"/>
      </w:pPr>
    </w:p>
    <w:p w:rsidR="009962E3" w:rsidRPr="00DC0836" w:rsidRDefault="009962E3" w:rsidP="007F0901">
      <w:pPr>
        <w:pStyle w:val="Style14"/>
        <w:spacing w:before="158" w:line="276" w:lineRule="auto"/>
        <w:ind w:left="720" w:firstLine="5"/>
        <w:rPr>
          <w:rStyle w:val="FontStyle38"/>
          <w:rFonts w:ascii="Times New Roman" w:hAnsi="Times New Roman"/>
          <w:sz w:val="24"/>
        </w:rPr>
      </w:pPr>
      <w:r w:rsidRPr="00DC0836">
        <w:rPr>
          <w:rStyle w:val="FontStyle38"/>
          <w:rFonts w:ascii="Times New Roman" w:hAnsi="Times New Roman"/>
          <w:sz w:val="24"/>
        </w:rPr>
        <w:t xml:space="preserve">For serious and repeated breaches of the Broadcasting Act, the Code of Programme Standards or provisions of the license contract, the regulatory authority can impose financial sanctions, suspend or even terminate the license. The BAI Compliance Committee can start an investigation into the affairs of a broadcaster </w:t>
      </w:r>
      <w:r w:rsidRPr="00DC0836">
        <w:rPr>
          <w:rFonts w:ascii="Times New Roman" w:hAnsi="Times New Roman"/>
          <w:color w:val="000000"/>
        </w:rPr>
        <w:t xml:space="preserve">where it is of the opinion that there are circumstances suggesting that it is appropriate to investigate and report on any apparent breach. </w:t>
      </w:r>
      <w:r w:rsidRPr="00DC0836">
        <w:rPr>
          <w:rStyle w:val="FontStyle38"/>
          <w:rFonts w:ascii="Times New Roman" w:hAnsi="Times New Roman"/>
          <w:sz w:val="24"/>
        </w:rPr>
        <w:t xml:space="preserve"> It is the duty of the broadcaster concerned to co-operate in any such investigation and provide the investigating officers with such information they consider necessary for the purposes of the investigation. </w:t>
      </w:r>
    </w:p>
    <w:p w:rsidR="009962E3" w:rsidRPr="00DC0836" w:rsidRDefault="009962E3" w:rsidP="007F0901">
      <w:pPr>
        <w:pStyle w:val="Style14"/>
        <w:spacing w:before="158" w:line="276" w:lineRule="auto"/>
        <w:ind w:left="720" w:firstLine="5"/>
        <w:rPr>
          <w:rFonts w:ascii="Times New Roman" w:hAnsi="Times New Roman"/>
        </w:rPr>
      </w:pPr>
      <w:r w:rsidRPr="00DC0836">
        <w:rPr>
          <w:rFonts w:ascii="Times New Roman" w:hAnsi="Times New Roman"/>
        </w:rPr>
        <w:t>Where the Compliance Committee finds that there has been a breach by the broadcaster concerned, it may recommend to the Regulatory Authority to notify the broadcaster. The notification sets out the reasons for the notification, states that the Authority intends to apply to the Court for a determination that there has been a breach and indicate the amount of the financial sanction (not exceeding €250,000) that it proposes.</w:t>
      </w:r>
    </w:p>
    <w:p w:rsidR="009962E3" w:rsidRPr="00DC0836" w:rsidRDefault="009962E3" w:rsidP="00FF02B4">
      <w:pPr>
        <w:pStyle w:val="Style14"/>
        <w:numPr>
          <w:ilvl w:val="0"/>
          <w:numId w:val="44"/>
        </w:numPr>
        <w:shd w:val="clear" w:color="auto" w:fill="FFFFFF"/>
        <w:tabs>
          <w:tab w:val="left" w:pos="900"/>
        </w:tabs>
        <w:spacing w:before="240" w:line="351" w:lineRule="atLeast"/>
        <w:ind w:left="900"/>
        <w:textAlignment w:val="baseline"/>
        <w:rPr>
          <w:rFonts w:ascii="Times New Roman" w:hAnsi="Times New Roman"/>
        </w:rPr>
      </w:pPr>
      <w:r w:rsidRPr="00DC0836">
        <w:rPr>
          <w:rFonts w:ascii="Times New Roman" w:hAnsi="Times New Roman"/>
        </w:rPr>
        <w:t>In January 2013, the BAI upheld the complaint by</w:t>
      </w:r>
      <w:r w:rsidRPr="00DC0836">
        <w:rPr>
          <w:rFonts w:ascii="Times New Roman" w:hAnsi="Times New Roman"/>
          <w:color w:val="333333"/>
        </w:rPr>
        <w:t xml:space="preserve"> the Galway One World Centre against the </w:t>
      </w:r>
      <w:r w:rsidRPr="00DC0836">
        <w:rPr>
          <w:rFonts w:ascii="Times New Roman" w:hAnsi="Times New Roman"/>
          <w:color w:val="000000"/>
          <w:u w:val="single"/>
        </w:rPr>
        <w:t>Classic Hits 4FM</w:t>
      </w:r>
      <w:r w:rsidRPr="00DC0836">
        <w:rPr>
          <w:rFonts w:ascii="Times New Roman" w:hAnsi="Times New Roman"/>
          <w:color w:val="333333"/>
          <w:u w:val="single"/>
        </w:rPr>
        <w:t xml:space="preserve"> radio station</w:t>
      </w:r>
      <w:r w:rsidRPr="00DC0836">
        <w:rPr>
          <w:rStyle w:val="FootnoteReference"/>
          <w:rFonts w:ascii="Times New Roman" w:hAnsi="Times New Roman"/>
          <w:color w:val="000000"/>
          <w:u w:val="single"/>
        </w:rPr>
        <w:footnoteReference w:id="45"/>
      </w:r>
      <w:r w:rsidRPr="00DC0836">
        <w:rPr>
          <w:rFonts w:ascii="Times New Roman" w:hAnsi="Times New Roman"/>
          <w:color w:val="333333"/>
        </w:rPr>
        <w:t xml:space="preserve"> alleging that racist comments went unchallenged on an edition of the </w:t>
      </w:r>
      <w:hyperlink r:id="rId12" w:tgtFrame="_self" w:history="1">
        <w:r w:rsidRPr="00DC0836">
          <w:rPr>
            <w:rStyle w:val="Hyperlink"/>
            <w:rFonts w:ascii="Times New Roman" w:hAnsi="Times New Roman"/>
            <w:bdr w:val="none" w:sz="0" w:space="0" w:color="auto" w:frame="1"/>
          </w:rPr>
          <w:t>David Harvey Show</w:t>
        </w:r>
      </w:hyperlink>
      <w:r w:rsidRPr="00DC0836">
        <w:rPr>
          <w:rFonts w:ascii="Times New Roman" w:hAnsi="Times New Roman"/>
        </w:rPr>
        <w:t>. T</w:t>
      </w:r>
      <w:r w:rsidRPr="00DC0836">
        <w:rPr>
          <w:rFonts w:ascii="Times New Roman" w:hAnsi="Times New Roman"/>
          <w:color w:val="333333"/>
        </w:rPr>
        <w:t>he show included a discussion on a report</w:t>
      </w:r>
      <w:r w:rsidRPr="00DC0836">
        <w:rPr>
          <w:rFonts w:ascii="Times New Roman" w:hAnsi="Times New Roman"/>
        </w:rPr>
        <w:t xml:space="preserve"> </w:t>
      </w:r>
      <w:r w:rsidRPr="00DC0836">
        <w:rPr>
          <w:rFonts w:ascii="Times New Roman" w:hAnsi="Times New Roman"/>
          <w:color w:val="333333"/>
        </w:rPr>
        <w:t xml:space="preserve">by the ESRI about whether African people living in Ireland are subject to discrimination when seeking employment. </w:t>
      </w:r>
      <w:r w:rsidRPr="00DC0836">
        <w:rPr>
          <w:rFonts w:ascii="Times New Roman" w:hAnsi="Times New Roman"/>
        </w:rPr>
        <w:t>The </w:t>
      </w:r>
      <w:hyperlink r:id="rId13" w:tgtFrame="_self" w:history="1">
        <w:r w:rsidRPr="00DC0836">
          <w:rPr>
            <w:rStyle w:val="Hyperlink"/>
            <w:rFonts w:ascii="Times New Roman" w:hAnsi="Times New Roman"/>
          </w:rPr>
          <w:t>BAI committee concluded that</w:t>
        </w:r>
      </w:hyperlink>
      <w:r w:rsidRPr="00DC0836">
        <w:rPr>
          <w:rFonts w:ascii="Times New Roman" w:hAnsi="Times New Roman"/>
        </w:rPr>
        <w:t>, as the programme developed, statements that it considered racist and prejudicial were permitted to be aired by callers to the programme: “Blacks” are “very lazy”, ”Black Africans” always “get up on their high horse”, ”Blacks” have a certain DNA related to their work ethic and practices, Filipinos in Ireland are “scammers”. etc. The committee decided that, in this case, the broadcaster had failed to meet the statutory requirements and that the listeners could reasonably assume that racist and prejudicial remarks of some callers to the programme were reasonable and acceptable positions to hold in the contemporary Irish society.</w:t>
      </w:r>
    </w:p>
    <w:p w:rsidR="009962E3" w:rsidRPr="00DC0836" w:rsidRDefault="009962E3" w:rsidP="00FF02B4">
      <w:pPr>
        <w:pStyle w:val="Style14"/>
        <w:numPr>
          <w:ilvl w:val="0"/>
          <w:numId w:val="44"/>
        </w:numPr>
        <w:shd w:val="clear" w:color="auto" w:fill="FFFFFF"/>
        <w:tabs>
          <w:tab w:val="left" w:pos="900"/>
        </w:tabs>
        <w:spacing w:line="351" w:lineRule="atLeast"/>
        <w:ind w:left="900"/>
        <w:textAlignment w:val="baseline"/>
        <w:rPr>
          <w:rFonts w:ascii="Times New Roman" w:hAnsi="Times New Roman"/>
        </w:rPr>
      </w:pPr>
      <w:r w:rsidRPr="00DC0836">
        <w:rPr>
          <w:rFonts w:ascii="Times New Roman" w:hAnsi="Times New Roman"/>
        </w:rPr>
        <w:t>In May 2013, t</w:t>
      </w:r>
      <w:r w:rsidRPr="00DC0836">
        <w:rPr>
          <w:rFonts w:ascii="Times New Roman" w:hAnsi="Times New Roman"/>
          <w:bCs/>
          <w:color w:val="333333"/>
        </w:rPr>
        <w:t>he</w:t>
      </w:r>
      <w:r w:rsidRPr="00DC0836">
        <w:rPr>
          <w:rStyle w:val="apple-converted-space"/>
          <w:rFonts w:ascii="Times New Roman" w:hAnsi="Times New Roman"/>
          <w:bCs/>
          <w:color w:val="333333"/>
        </w:rPr>
        <w:t> </w:t>
      </w:r>
      <w:hyperlink r:id="rId14" w:history="1">
        <w:r w:rsidRPr="00DC0836">
          <w:rPr>
            <w:rStyle w:val="Hyperlink"/>
            <w:rFonts w:ascii="Times New Roman" w:hAnsi="Times New Roman"/>
            <w:bCs/>
            <w:color w:val="18457C"/>
          </w:rPr>
          <w:t>BAI</w:t>
        </w:r>
      </w:hyperlink>
      <w:r w:rsidRPr="00DC0836">
        <w:rPr>
          <w:rFonts w:ascii="Times New Roman" w:hAnsi="Times New Roman"/>
          <w:bCs/>
          <w:color w:val="333333"/>
        </w:rPr>
        <w:t xml:space="preserve"> upheld a complaint against the Cork 96FM radio station concerning the Neil Prendeville Show</w:t>
      </w:r>
      <w:r w:rsidRPr="00DC0836">
        <w:rPr>
          <w:rStyle w:val="FootnoteReference"/>
          <w:rFonts w:ascii="Times New Roman" w:hAnsi="Times New Roman"/>
          <w:bCs/>
          <w:color w:val="333333"/>
        </w:rPr>
        <w:footnoteReference w:id="46"/>
      </w:r>
      <w:r w:rsidRPr="00DC0836">
        <w:rPr>
          <w:rFonts w:ascii="Times New Roman" w:hAnsi="Times New Roman"/>
          <w:bCs/>
          <w:color w:val="333333"/>
        </w:rPr>
        <w:t xml:space="preserve">. </w:t>
      </w:r>
      <w:r w:rsidRPr="00DC0836">
        <w:rPr>
          <w:rFonts w:ascii="Times New Roman" w:hAnsi="Times New Roman"/>
          <w:color w:val="333333"/>
        </w:rPr>
        <w:t>A listener had objected to comments the presenter had made about foreign nationals during a debate about inequality in society in a programme broadcast on 14 May. The complainant stated that the presenter’s comments had, in his opinion, been “vile accusations, laced with prejudice and with no veracity in reality whatsoever”. The complainant stated that, by making these statements on air, the presenter “puts non-Irish members of society at risk by associating them with what has been taking place in this country over the previous five years”.</w:t>
      </w:r>
      <w:r w:rsidRPr="00DC0836">
        <w:rPr>
          <w:rFonts w:ascii="Times New Roman" w:hAnsi="Times New Roman"/>
        </w:rPr>
        <w:t xml:space="preserve"> </w:t>
      </w:r>
      <w:r w:rsidRPr="00DC0836">
        <w:rPr>
          <w:rFonts w:ascii="Times New Roman" w:hAnsi="Times New Roman"/>
          <w:color w:val="333333"/>
        </w:rPr>
        <w:t>The BAI upheld the complaint in part. It said the presenter's comments had lacked impartiality and objectivity, and were not counterbalanced by an alternative perspective.</w:t>
      </w:r>
    </w:p>
    <w:p w:rsidR="009962E3" w:rsidRDefault="009962E3" w:rsidP="007F0901">
      <w:pPr>
        <w:tabs>
          <w:tab w:val="num" w:pos="2160"/>
          <w:tab w:val="num" w:pos="2880"/>
        </w:tabs>
        <w:jc w:val="both"/>
        <w:rPr>
          <w:rFonts w:ascii="Bookman Old Style" w:hAnsi="Bookman Old Style" w:cs="Bookman Old Style"/>
          <w:b/>
          <w:bCs/>
          <w:sz w:val="32"/>
          <w:szCs w:val="32"/>
          <w:lang w:val="en-US"/>
        </w:rPr>
      </w:pPr>
    </w:p>
    <w:p w:rsidR="009962E3" w:rsidRDefault="009962E3" w:rsidP="007F0901">
      <w:pPr>
        <w:pStyle w:val="ListParagraph"/>
        <w:spacing w:before="100" w:beforeAutospacing="1" w:after="100" w:afterAutospacing="1" w:line="240" w:lineRule="auto"/>
        <w:ind w:left="0"/>
        <w:rPr>
          <w:rFonts w:ascii="Times New Roman" w:hAnsi="Times New Roman"/>
          <w:b/>
          <w:bCs/>
          <w:sz w:val="24"/>
          <w:szCs w:val="24"/>
        </w:rPr>
      </w:pPr>
    </w:p>
    <w:p w:rsidR="009962E3" w:rsidRDefault="009962E3" w:rsidP="00895D49">
      <w:pPr>
        <w:pStyle w:val="ListParagraph"/>
        <w:numPr>
          <w:ilvl w:val="0"/>
          <w:numId w:val="33"/>
        </w:numPr>
        <w:spacing w:before="100" w:beforeAutospacing="1" w:after="100" w:afterAutospacing="1" w:line="240" w:lineRule="auto"/>
        <w:ind w:left="360"/>
        <w:rPr>
          <w:rFonts w:ascii="Times New Roman" w:hAnsi="Times New Roman"/>
          <w:b/>
          <w:bCs/>
          <w:sz w:val="28"/>
          <w:szCs w:val="28"/>
        </w:rPr>
      </w:pPr>
      <w:r>
        <w:rPr>
          <w:rFonts w:ascii="Times New Roman" w:hAnsi="Times New Roman"/>
          <w:b/>
          <w:bCs/>
          <w:sz w:val="24"/>
          <w:szCs w:val="24"/>
        </w:rPr>
        <w:br w:type="page"/>
      </w:r>
      <w:r w:rsidRPr="00FF02B4">
        <w:rPr>
          <w:rFonts w:ascii="Times New Roman" w:hAnsi="Times New Roman"/>
          <w:b/>
          <w:bCs/>
          <w:sz w:val="28"/>
          <w:szCs w:val="28"/>
        </w:rPr>
        <w:t>Conclusions and Recommendations</w:t>
      </w:r>
    </w:p>
    <w:p w:rsidR="009962E3" w:rsidRPr="00FF02B4" w:rsidRDefault="009962E3" w:rsidP="00FF02B4">
      <w:pPr>
        <w:pStyle w:val="ListParagraph"/>
        <w:spacing w:before="100" w:beforeAutospacing="1" w:after="100" w:afterAutospacing="1" w:line="240" w:lineRule="auto"/>
        <w:ind w:left="0"/>
        <w:rPr>
          <w:rFonts w:ascii="Times New Roman" w:hAnsi="Times New Roman"/>
          <w:b/>
          <w:bCs/>
          <w:sz w:val="28"/>
          <w:szCs w:val="28"/>
        </w:rPr>
      </w:pPr>
    </w:p>
    <w:p w:rsidR="009962E3" w:rsidRPr="001A30B7" w:rsidRDefault="009962E3" w:rsidP="001A30B7">
      <w:pPr>
        <w:pStyle w:val="NormalWeb"/>
        <w:numPr>
          <w:ilvl w:val="0"/>
          <w:numId w:val="40"/>
        </w:numPr>
        <w:shd w:val="clear" w:color="auto" w:fill="FFFFFF"/>
        <w:spacing w:before="240" w:beforeAutospacing="0" w:after="150" w:afterAutospacing="0" w:line="276" w:lineRule="auto"/>
        <w:ind w:left="720"/>
        <w:jc w:val="both"/>
      </w:pPr>
      <w:r w:rsidRPr="001A30B7">
        <w:t>The</w:t>
      </w:r>
      <w:r w:rsidRPr="001A30B7">
        <w:rPr>
          <w:rStyle w:val="apple-converted-space"/>
        </w:rPr>
        <w:t> Audiovisual Media Services Directive stresses</w:t>
      </w:r>
      <w:r w:rsidRPr="001A30B7">
        <w:t xml:space="preserve"> the role of the independent</w:t>
      </w:r>
      <w:r w:rsidRPr="001A30B7">
        <w:rPr>
          <w:rStyle w:val="apple-converted-space"/>
        </w:rPr>
        <w:t> </w:t>
      </w:r>
      <w:hyperlink r:id="rId15" w:history="1">
        <w:r w:rsidRPr="001A30B7">
          <w:rPr>
            <w:rStyle w:val="Hyperlink"/>
            <w:color w:val="auto"/>
            <w:u w:val="none"/>
          </w:rPr>
          <w:t>regulatory authorities</w:t>
        </w:r>
      </w:hyperlink>
      <w:r w:rsidRPr="001A30B7">
        <w:rPr>
          <w:rStyle w:val="apple-converted-space"/>
        </w:rPr>
        <w:t xml:space="preserve"> in the audiovisual field </w:t>
      </w:r>
      <w:r>
        <w:rPr>
          <w:rStyle w:val="apple-converted-space"/>
        </w:rPr>
        <w:t>in</w:t>
      </w:r>
      <w:r w:rsidRPr="001A30B7">
        <w:t> enforc</w:t>
      </w:r>
      <w:r>
        <w:t>ing</w:t>
      </w:r>
      <w:r w:rsidRPr="001A30B7">
        <w:t xml:space="preserve"> the national legislation transposing the rules of the Directive</w:t>
      </w:r>
      <w:r w:rsidRPr="001A30B7">
        <w:rPr>
          <w:rStyle w:val="FootnoteReference"/>
        </w:rPr>
        <w:footnoteReference w:id="47"/>
      </w:r>
      <w:r w:rsidRPr="001A30B7">
        <w:t>. Regulators in the field of audiovisual media services </w:t>
      </w:r>
      <w:r>
        <w:t xml:space="preserve">all around Europe </w:t>
      </w:r>
      <w:r w:rsidRPr="001A30B7">
        <w:t xml:space="preserve">are given powers to supervise </w:t>
      </w:r>
      <w:r>
        <w:t xml:space="preserve">the </w:t>
      </w:r>
      <w:r w:rsidRPr="001A30B7">
        <w:t xml:space="preserve">audiovisual programmes’ compliance with </w:t>
      </w:r>
      <w:r>
        <w:t xml:space="preserve">the </w:t>
      </w:r>
      <w:r w:rsidRPr="001A30B7">
        <w:t xml:space="preserve">national </w:t>
      </w:r>
      <w:r>
        <w:t xml:space="preserve">legislation which is harmonized with the </w:t>
      </w:r>
      <w:r w:rsidRPr="001A30B7">
        <w:t xml:space="preserve">AVMS Directive. </w:t>
      </w:r>
    </w:p>
    <w:p w:rsidR="009962E3" w:rsidRPr="001A30B7" w:rsidRDefault="009962E3" w:rsidP="001A30B7">
      <w:pPr>
        <w:pStyle w:val="ListParagraph"/>
        <w:numPr>
          <w:ilvl w:val="0"/>
          <w:numId w:val="39"/>
        </w:numPr>
        <w:tabs>
          <w:tab w:val="num" w:pos="720"/>
        </w:tabs>
        <w:spacing w:before="100" w:beforeAutospacing="1"/>
        <w:jc w:val="both"/>
        <w:rPr>
          <w:rFonts w:ascii="Times New Roman" w:hAnsi="Times New Roman"/>
          <w:bCs/>
          <w:sz w:val="24"/>
          <w:szCs w:val="24"/>
        </w:rPr>
      </w:pPr>
      <w:r w:rsidRPr="001A30B7">
        <w:rPr>
          <w:rFonts w:ascii="Times New Roman" w:hAnsi="Times New Roman"/>
          <w:sz w:val="24"/>
          <w:szCs w:val="24"/>
        </w:rPr>
        <w:t>Article 6 of the AVMS Directive stipulates that “</w:t>
      </w:r>
      <w:r w:rsidRPr="001A30B7">
        <w:rPr>
          <w:rFonts w:ascii="Times New Roman" w:hAnsi="Times New Roman"/>
          <w:color w:val="000000"/>
          <w:sz w:val="24"/>
          <w:szCs w:val="24"/>
        </w:rPr>
        <w:t>Member States shall ensure by appropriate means that audiovisual media services provided by media service providers under their jurisdiction do not contain any incitement to hatred based on race, sex, religion or nationality.” The </w:t>
      </w:r>
      <w:r w:rsidRPr="001A30B7">
        <w:rPr>
          <w:rFonts w:ascii="Times New Roman" w:hAnsi="Times New Roman"/>
          <w:bCs/>
          <w:color w:val="000000"/>
          <w:sz w:val="24"/>
          <w:szCs w:val="24"/>
        </w:rPr>
        <w:t>authorities in every EU country</w:t>
      </w:r>
      <w:r w:rsidRPr="001A30B7">
        <w:rPr>
          <w:rFonts w:ascii="Times New Roman" w:hAnsi="Times New Roman"/>
          <w:color w:val="000000"/>
          <w:sz w:val="24"/>
          <w:szCs w:val="24"/>
        </w:rPr>
        <w:t> must ensure that audiovisual media services do not contain any incitement to hatred based on race, sex, religion or nationality</w:t>
      </w:r>
      <w:r>
        <w:rPr>
          <w:rFonts w:ascii="Times New Roman" w:hAnsi="Times New Roman"/>
          <w:color w:val="000000"/>
          <w:sz w:val="24"/>
          <w:szCs w:val="24"/>
        </w:rPr>
        <w:t xml:space="preserve">. They should </w:t>
      </w:r>
      <w:r w:rsidRPr="001A30B7">
        <w:rPr>
          <w:rFonts w:ascii="Times New Roman" w:hAnsi="Times New Roman"/>
          <w:color w:val="000000"/>
          <w:sz w:val="24"/>
          <w:szCs w:val="24"/>
        </w:rPr>
        <w:t xml:space="preserve"> act both against the channels using an </w:t>
      </w:r>
      <w:r w:rsidRPr="001A30B7">
        <w:rPr>
          <w:rFonts w:ascii="Times New Roman" w:hAnsi="Times New Roman"/>
          <w:bCs/>
          <w:color w:val="000000"/>
          <w:sz w:val="24"/>
          <w:szCs w:val="24"/>
        </w:rPr>
        <w:t xml:space="preserve">uplink in an EU country and </w:t>
      </w:r>
      <w:r>
        <w:rPr>
          <w:rFonts w:ascii="Times New Roman" w:hAnsi="Times New Roman"/>
          <w:bCs/>
          <w:color w:val="000000"/>
          <w:sz w:val="24"/>
          <w:szCs w:val="24"/>
        </w:rPr>
        <w:t xml:space="preserve">a </w:t>
      </w:r>
      <w:r w:rsidRPr="001A30B7">
        <w:rPr>
          <w:rFonts w:ascii="Times New Roman" w:hAnsi="Times New Roman"/>
          <w:bCs/>
          <w:color w:val="000000"/>
          <w:sz w:val="24"/>
          <w:szCs w:val="24"/>
        </w:rPr>
        <w:t>satellite capacity used</w:t>
      </w:r>
      <w:r w:rsidRPr="001A30B7">
        <w:rPr>
          <w:rFonts w:ascii="Times New Roman" w:hAnsi="Times New Roman"/>
          <w:color w:val="000000"/>
          <w:sz w:val="24"/>
          <w:szCs w:val="24"/>
        </w:rPr>
        <w:t> for hate speech broadcasts by channels licensed in other EU countries.</w:t>
      </w:r>
    </w:p>
    <w:p w:rsidR="009962E3" w:rsidRPr="00775161" w:rsidRDefault="009962E3" w:rsidP="00BD1F8D">
      <w:pPr>
        <w:pStyle w:val="ListParagraph"/>
        <w:numPr>
          <w:ilvl w:val="0"/>
          <w:numId w:val="39"/>
        </w:numPr>
        <w:tabs>
          <w:tab w:val="num" w:pos="720"/>
        </w:tabs>
        <w:spacing w:before="100" w:beforeAutospacing="1"/>
        <w:jc w:val="both"/>
        <w:rPr>
          <w:rFonts w:ascii="Times New Roman" w:hAnsi="Times New Roman"/>
          <w:bCs/>
          <w:sz w:val="24"/>
          <w:szCs w:val="24"/>
        </w:rPr>
      </w:pPr>
      <w:r w:rsidRPr="00775161">
        <w:rPr>
          <w:rStyle w:val="FontStyle38"/>
          <w:rFonts w:ascii="Times New Roman" w:hAnsi="Times New Roman"/>
          <w:sz w:val="24"/>
          <w:szCs w:val="24"/>
        </w:rPr>
        <w:t>When determining hate speech, most of the regulatory authorities in</w:t>
      </w:r>
      <w:r>
        <w:rPr>
          <w:rStyle w:val="FontStyle38"/>
          <w:rFonts w:ascii="Times New Roman" w:hAnsi="Times New Roman"/>
          <w:sz w:val="24"/>
          <w:szCs w:val="24"/>
        </w:rPr>
        <w:t xml:space="preserve"> the</w:t>
      </w:r>
      <w:r w:rsidRPr="00775161">
        <w:rPr>
          <w:rStyle w:val="FontStyle38"/>
          <w:rFonts w:ascii="Times New Roman" w:hAnsi="Times New Roman"/>
          <w:sz w:val="24"/>
          <w:szCs w:val="24"/>
        </w:rPr>
        <w:t xml:space="preserve"> European countries</w:t>
      </w:r>
      <w:r>
        <w:rPr>
          <w:rStyle w:val="FootnoteReference"/>
          <w:rFonts w:ascii="Times New Roman" w:hAnsi="Times New Roman"/>
          <w:sz w:val="24"/>
          <w:szCs w:val="24"/>
        </w:rPr>
        <w:footnoteReference w:id="48"/>
      </w:r>
      <w:r w:rsidRPr="00775161">
        <w:rPr>
          <w:rStyle w:val="FontStyle38"/>
          <w:rFonts w:ascii="Times New Roman" w:hAnsi="Times New Roman"/>
          <w:sz w:val="24"/>
          <w:szCs w:val="24"/>
        </w:rPr>
        <w:t xml:space="preserve"> use as guiding principles the case-law of the European Court </w:t>
      </w:r>
      <w:r>
        <w:rPr>
          <w:rStyle w:val="FontStyle38"/>
          <w:rFonts w:ascii="Times New Roman" w:hAnsi="Times New Roman"/>
          <w:sz w:val="24"/>
          <w:szCs w:val="24"/>
        </w:rPr>
        <w:t>of</w:t>
      </w:r>
      <w:r w:rsidRPr="00775161">
        <w:rPr>
          <w:rStyle w:val="FontStyle38"/>
          <w:rFonts w:ascii="Times New Roman" w:hAnsi="Times New Roman"/>
          <w:sz w:val="24"/>
          <w:szCs w:val="24"/>
        </w:rPr>
        <w:t xml:space="preserve"> Human Rights and </w:t>
      </w:r>
      <w:r>
        <w:rPr>
          <w:rStyle w:val="FontStyle38"/>
          <w:rFonts w:ascii="Times New Roman" w:hAnsi="Times New Roman"/>
          <w:sz w:val="24"/>
          <w:szCs w:val="24"/>
        </w:rPr>
        <w:t xml:space="preserve">their </w:t>
      </w:r>
      <w:r w:rsidRPr="00775161">
        <w:rPr>
          <w:rStyle w:val="FontStyle38"/>
          <w:rFonts w:ascii="Times New Roman" w:hAnsi="Times New Roman"/>
          <w:sz w:val="24"/>
          <w:szCs w:val="24"/>
        </w:rPr>
        <w:t xml:space="preserve">domestic courts. </w:t>
      </w:r>
      <w:r>
        <w:rPr>
          <w:rStyle w:val="FontStyle38"/>
          <w:rFonts w:ascii="Times New Roman" w:hAnsi="Times New Roman"/>
          <w:sz w:val="24"/>
          <w:szCs w:val="24"/>
        </w:rPr>
        <w:t>The s</w:t>
      </w:r>
      <w:r w:rsidRPr="00775161">
        <w:rPr>
          <w:rStyle w:val="FontStyle38"/>
          <w:rFonts w:ascii="Times New Roman" w:hAnsi="Times New Roman"/>
          <w:sz w:val="24"/>
          <w:szCs w:val="24"/>
        </w:rPr>
        <w:t>anctions that the audiovisual regulators have at their disposal are various: warning, order to publish</w:t>
      </w:r>
      <w:r>
        <w:rPr>
          <w:rStyle w:val="FontStyle38"/>
          <w:rFonts w:ascii="Times New Roman" w:hAnsi="Times New Roman"/>
          <w:sz w:val="24"/>
          <w:szCs w:val="24"/>
        </w:rPr>
        <w:t xml:space="preserve"> the</w:t>
      </w:r>
      <w:r w:rsidRPr="00775161">
        <w:rPr>
          <w:rStyle w:val="FontStyle38"/>
          <w:rFonts w:ascii="Times New Roman" w:hAnsi="Times New Roman"/>
          <w:sz w:val="24"/>
          <w:szCs w:val="24"/>
        </w:rPr>
        <w:t xml:space="preserve"> findings of the regulator, order to issue correction, fines and</w:t>
      </w:r>
      <w:r>
        <w:rPr>
          <w:rStyle w:val="FontStyle38"/>
          <w:rFonts w:ascii="Times New Roman" w:hAnsi="Times New Roman"/>
          <w:sz w:val="24"/>
          <w:szCs w:val="24"/>
        </w:rPr>
        <w:t>,</w:t>
      </w:r>
      <w:r w:rsidRPr="00775161">
        <w:rPr>
          <w:rStyle w:val="FontStyle38"/>
          <w:rFonts w:ascii="Times New Roman" w:hAnsi="Times New Roman"/>
          <w:sz w:val="24"/>
          <w:szCs w:val="24"/>
        </w:rPr>
        <w:t xml:space="preserve"> in very severe cases</w:t>
      </w:r>
      <w:r>
        <w:rPr>
          <w:rStyle w:val="FontStyle38"/>
          <w:rFonts w:ascii="Times New Roman" w:hAnsi="Times New Roman"/>
          <w:sz w:val="24"/>
          <w:szCs w:val="24"/>
        </w:rPr>
        <w:t>,</w:t>
      </w:r>
      <w:r w:rsidRPr="00775161">
        <w:rPr>
          <w:rStyle w:val="FontStyle38"/>
          <w:rFonts w:ascii="Times New Roman" w:hAnsi="Times New Roman"/>
          <w:sz w:val="24"/>
          <w:szCs w:val="24"/>
        </w:rPr>
        <w:t xml:space="preserve"> decision to shorten or to terminate the license.</w:t>
      </w:r>
    </w:p>
    <w:p w:rsidR="009962E3" w:rsidRPr="00BD1F8D" w:rsidRDefault="009962E3" w:rsidP="00BD1F8D">
      <w:pPr>
        <w:pStyle w:val="ListParagraph"/>
        <w:numPr>
          <w:ilvl w:val="0"/>
          <w:numId w:val="39"/>
        </w:numPr>
        <w:tabs>
          <w:tab w:val="num" w:pos="720"/>
        </w:tabs>
        <w:spacing w:before="100" w:beforeAutospacing="1"/>
        <w:jc w:val="both"/>
        <w:rPr>
          <w:rFonts w:ascii="Times New Roman" w:hAnsi="Times New Roman"/>
          <w:bCs/>
          <w:sz w:val="24"/>
          <w:szCs w:val="24"/>
        </w:rPr>
      </w:pPr>
      <w:r>
        <w:rPr>
          <w:rFonts w:ascii="Times New Roman" w:hAnsi="Times New Roman"/>
          <w:bCs/>
          <w:sz w:val="24"/>
          <w:szCs w:val="24"/>
        </w:rPr>
        <w:t>T</w:t>
      </w:r>
      <w:r w:rsidRPr="00BD1F8D">
        <w:rPr>
          <w:rFonts w:ascii="Times New Roman" w:hAnsi="Times New Roman"/>
          <w:bCs/>
          <w:sz w:val="24"/>
          <w:szCs w:val="24"/>
        </w:rPr>
        <w:t>he definition in the Law on Audio and Audiovisual Media services is aligned with Article 6 of the AVMS Directive and Article 10 of the E</w:t>
      </w:r>
      <w:r>
        <w:rPr>
          <w:rFonts w:ascii="Times New Roman" w:hAnsi="Times New Roman"/>
          <w:bCs/>
          <w:sz w:val="24"/>
          <w:szCs w:val="24"/>
        </w:rPr>
        <w:t xml:space="preserve">uropean </w:t>
      </w:r>
      <w:r w:rsidRPr="00BD1F8D">
        <w:rPr>
          <w:rFonts w:ascii="Times New Roman" w:hAnsi="Times New Roman"/>
          <w:bCs/>
          <w:sz w:val="24"/>
          <w:szCs w:val="24"/>
        </w:rPr>
        <w:t>C</w:t>
      </w:r>
      <w:r>
        <w:rPr>
          <w:rFonts w:ascii="Times New Roman" w:hAnsi="Times New Roman"/>
          <w:bCs/>
          <w:sz w:val="24"/>
          <w:szCs w:val="24"/>
        </w:rPr>
        <w:t xml:space="preserve">onvention on </w:t>
      </w:r>
      <w:r w:rsidRPr="00BD1F8D">
        <w:rPr>
          <w:rFonts w:ascii="Times New Roman" w:hAnsi="Times New Roman"/>
          <w:bCs/>
          <w:sz w:val="24"/>
          <w:szCs w:val="24"/>
        </w:rPr>
        <w:t>H</w:t>
      </w:r>
      <w:r>
        <w:rPr>
          <w:rFonts w:ascii="Times New Roman" w:hAnsi="Times New Roman"/>
          <w:bCs/>
          <w:sz w:val="24"/>
          <w:szCs w:val="24"/>
        </w:rPr>
        <w:t>uman Rights</w:t>
      </w:r>
      <w:r w:rsidRPr="00BD1F8D">
        <w:rPr>
          <w:rFonts w:ascii="Times New Roman" w:hAnsi="Times New Roman"/>
          <w:bCs/>
          <w:sz w:val="24"/>
          <w:szCs w:val="24"/>
        </w:rPr>
        <w:t xml:space="preserve">. However, the main issue remains that the AAAMS does not have </w:t>
      </w:r>
      <w:r>
        <w:rPr>
          <w:rFonts w:ascii="Times New Roman" w:hAnsi="Times New Roman"/>
          <w:bCs/>
          <w:sz w:val="24"/>
          <w:szCs w:val="24"/>
        </w:rPr>
        <w:t>sufficient</w:t>
      </w:r>
      <w:r w:rsidRPr="00BD1F8D">
        <w:rPr>
          <w:rFonts w:ascii="Times New Roman" w:hAnsi="Times New Roman"/>
          <w:bCs/>
          <w:sz w:val="24"/>
          <w:szCs w:val="24"/>
        </w:rPr>
        <w:t xml:space="preserve"> measures to react when there is a need to prevent “hate speech” in the audio and audiovisual media. Therefore, there is still room for progress in allowing the Agency to have more competencies </w:t>
      </w:r>
      <w:r>
        <w:rPr>
          <w:rFonts w:ascii="Times New Roman" w:hAnsi="Times New Roman"/>
          <w:bCs/>
          <w:sz w:val="24"/>
          <w:szCs w:val="24"/>
        </w:rPr>
        <w:t>when</w:t>
      </w:r>
      <w:r w:rsidRPr="00BD1F8D">
        <w:rPr>
          <w:rFonts w:ascii="Times New Roman" w:hAnsi="Times New Roman"/>
          <w:bCs/>
          <w:sz w:val="24"/>
          <w:szCs w:val="24"/>
        </w:rPr>
        <w:t xml:space="preserve"> combating hate speech in practice. </w:t>
      </w:r>
    </w:p>
    <w:p w:rsidR="009962E3" w:rsidRPr="00BD1F8D" w:rsidRDefault="009962E3" w:rsidP="00BD1F8D">
      <w:pPr>
        <w:pStyle w:val="ListParagraph"/>
        <w:numPr>
          <w:ilvl w:val="0"/>
          <w:numId w:val="39"/>
        </w:numPr>
        <w:tabs>
          <w:tab w:val="num" w:pos="720"/>
        </w:tabs>
        <w:spacing w:before="100" w:beforeAutospacing="1"/>
        <w:jc w:val="both"/>
        <w:rPr>
          <w:rFonts w:ascii="Times New Roman" w:hAnsi="Times New Roman"/>
          <w:bCs/>
          <w:sz w:val="24"/>
          <w:szCs w:val="24"/>
        </w:rPr>
      </w:pPr>
      <w:r w:rsidRPr="00BD1F8D">
        <w:rPr>
          <w:rFonts w:ascii="Times New Roman" w:hAnsi="Times New Roman"/>
          <w:bCs/>
          <w:sz w:val="24"/>
          <w:szCs w:val="24"/>
        </w:rPr>
        <w:t>As Article 19 s</w:t>
      </w:r>
      <w:r>
        <w:rPr>
          <w:rFonts w:ascii="Times New Roman" w:hAnsi="Times New Roman"/>
          <w:bCs/>
          <w:sz w:val="24"/>
          <w:szCs w:val="24"/>
        </w:rPr>
        <w:t>tipulates,</w:t>
      </w:r>
      <w:r w:rsidRPr="00BD1F8D">
        <w:rPr>
          <w:rFonts w:ascii="Times New Roman" w:hAnsi="Times New Roman"/>
          <w:bCs/>
          <w:sz w:val="24"/>
          <w:szCs w:val="24"/>
        </w:rPr>
        <w:t xml:space="preserve"> “the states should apply a variety of legal means, including civil, administrative and other measures, when prohibiting incitement. The application of Criminal Law penalties should be limited only to addressing the most severe forms of incitement”. At the same time, Article 19 conclude</w:t>
      </w:r>
      <w:r>
        <w:rPr>
          <w:rFonts w:ascii="Times New Roman" w:hAnsi="Times New Roman"/>
          <w:bCs/>
          <w:sz w:val="24"/>
          <w:szCs w:val="24"/>
        </w:rPr>
        <w:t>s</w:t>
      </w:r>
      <w:r w:rsidRPr="00BD1F8D">
        <w:rPr>
          <w:rFonts w:ascii="Times New Roman" w:hAnsi="Times New Roman"/>
          <w:bCs/>
          <w:sz w:val="24"/>
          <w:szCs w:val="24"/>
        </w:rPr>
        <w:t xml:space="preserve"> that “in most </w:t>
      </w:r>
      <w:r>
        <w:rPr>
          <w:rFonts w:ascii="Times New Roman" w:hAnsi="Times New Roman"/>
          <w:bCs/>
          <w:sz w:val="24"/>
          <w:szCs w:val="24"/>
        </w:rPr>
        <w:t xml:space="preserve">of the </w:t>
      </w:r>
      <w:r w:rsidRPr="00BD1F8D">
        <w:rPr>
          <w:rFonts w:ascii="Times New Roman" w:hAnsi="Times New Roman"/>
          <w:bCs/>
          <w:sz w:val="24"/>
          <w:szCs w:val="24"/>
        </w:rPr>
        <w:t>current instances, this is not the case”.</w:t>
      </w:r>
    </w:p>
    <w:p w:rsidR="009962E3" w:rsidRPr="00BD1F8D" w:rsidRDefault="009962E3" w:rsidP="00BD1F8D">
      <w:pPr>
        <w:pStyle w:val="ListParagraph"/>
        <w:numPr>
          <w:ilvl w:val="0"/>
          <w:numId w:val="39"/>
        </w:numPr>
        <w:autoSpaceDE w:val="0"/>
        <w:autoSpaceDN w:val="0"/>
        <w:adjustRightInd w:val="0"/>
        <w:jc w:val="both"/>
        <w:rPr>
          <w:rFonts w:ascii="Times New Roman" w:hAnsi="Times New Roman"/>
          <w:bCs/>
          <w:sz w:val="24"/>
          <w:szCs w:val="24"/>
        </w:rPr>
      </w:pPr>
      <w:r w:rsidRPr="00BD1F8D">
        <w:rPr>
          <w:rFonts w:ascii="Times New Roman" w:hAnsi="Times New Roman"/>
          <w:color w:val="231F20"/>
          <w:sz w:val="24"/>
          <w:szCs w:val="24"/>
        </w:rPr>
        <w:t xml:space="preserve">It should be noted </w:t>
      </w:r>
      <w:r>
        <w:rPr>
          <w:rFonts w:ascii="Times New Roman" w:hAnsi="Times New Roman"/>
          <w:color w:val="231F20"/>
          <w:sz w:val="24"/>
          <w:szCs w:val="24"/>
        </w:rPr>
        <w:t xml:space="preserve">as well </w:t>
      </w:r>
      <w:r w:rsidRPr="00BD1F8D">
        <w:rPr>
          <w:rFonts w:ascii="Times New Roman" w:hAnsi="Times New Roman"/>
          <w:color w:val="231F20"/>
          <w:sz w:val="24"/>
          <w:szCs w:val="24"/>
        </w:rPr>
        <w:t>that Article 19 recommends that “consideration should be given to administrative sanctions, in particular to enforce rules established by communication, media and press councils, consumer protection authorities, or any other regulatory bodies.”</w:t>
      </w:r>
    </w:p>
    <w:p w:rsidR="009962E3" w:rsidRPr="00BD1F8D" w:rsidRDefault="009962E3" w:rsidP="00BD1F8D">
      <w:pPr>
        <w:pStyle w:val="ListParagraph"/>
        <w:numPr>
          <w:ilvl w:val="0"/>
          <w:numId w:val="39"/>
        </w:numPr>
        <w:tabs>
          <w:tab w:val="num" w:pos="720"/>
        </w:tabs>
        <w:spacing w:before="100" w:beforeAutospacing="1"/>
        <w:jc w:val="both"/>
        <w:rPr>
          <w:rFonts w:ascii="Times New Roman" w:hAnsi="Times New Roman"/>
          <w:bCs/>
          <w:sz w:val="24"/>
          <w:szCs w:val="24"/>
        </w:rPr>
      </w:pPr>
      <w:r w:rsidRPr="00BD1F8D">
        <w:rPr>
          <w:rFonts w:ascii="Times New Roman" w:hAnsi="Times New Roman"/>
          <w:bCs/>
          <w:sz w:val="24"/>
          <w:szCs w:val="24"/>
        </w:rPr>
        <w:t xml:space="preserve">It is important that the Agency establish cooperation with the </w:t>
      </w:r>
      <w:r>
        <w:rPr>
          <w:rFonts w:ascii="Times New Roman" w:hAnsi="Times New Roman"/>
          <w:bCs/>
          <w:sz w:val="24"/>
          <w:szCs w:val="24"/>
        </w:rPr>
        <w:t>Antid</w:t>
      </w:r>
      <w:r w:rsidRPr="00BD1F8D">
        <w:rPr>
          <w:rFonts w:ascii="Times New Roman" w:hAnsi="Times New Roman"/>
          <w:bCs/>
          <w:sz w:val="24"/>
          <w:szCs w:val="24"/>
        </w:rPr>
        <w:t xml:space="preserve">iscrimination Commission in accordance with the Law on Antidiscrimination. It may be efficient to draft and sign </w:t>
      </w:r>
      <w:r>
        <w:rPr>
          <w:rFonts w:ascii="Times New Roman" w:hAnsi="Times New Roman"/>
          <w:bCs/>
          <w:sz w:val="24"/>
          <w:szCs w:val="24"/>
        </w:rPr>
        <w:t>a</w:t>
      </w:r>
      <w:r w:rsidRPr="00BD1F8D">
        <w:rPr>
          <w:rFonts w:ascii="Times New Roman" w:hAnsi="Times New Roman"/>
          <w:bCs/>
          <w:sz w:val="24"/>
          <w:szCs w:val="24"/>
        </w:rPr>
        <w:t xml:space="preserve"> Memorandum of </w:t>
      </w:r>
      <w:r>
        <w:rPr>
          <w:rFonts w:ascii="Times New Roman" w:hAnsi="Times New Roman"/>
          <w:bCs/>
          <w:sz w:val="24"/>
          <w:szCs w:val="24"/>
        </w:rPr>
        <w:t>U</w:t>
      </w:r>
      <w:r w:rsidRPr="00BD1F8D">
        <w:rPr>
          <w:rFonts w:ascii="Times New Roman" w:hAnsi="Times New Roman"/>
          <w:bCs/>
          <w:sz w:val="24"/>
          <w:szCs w:val="24"/>
        </w:rPr>
        <w:t>nderstanding where both agencies</w:t>
      </w:r>
      <w:r>
        <w:rPr>
          <w:rFonts w:ascii="Times New Roman" w:hAnsi="Times New Roman"/>
          <w:bCs/>
          <w:sz w:val="24"/>
          <w:szCs w:val="24"/>
        </w:rPr>
        <w:t>’</w:t>
      </w:r>
      <w:r w:rsidRPr="00BD1F8D">
        <w:rPr>
          <w:rFonts w:ascii="Times New Roman" w:hAnsi="Times New Roman"/>
          <w:bCs/>
          <w:sz w:val="24"/>
          <w:szCs w:val="24"/>
        </w:rPr>
        <w:t xml:space="preserve"> competencies should be defined</w:t>
      </w:r>
      <w:r>
        <w:rPr>
          <w:rFonts w:ascii="Times New Roman" w:hAnsi="Times New Roman"/>
          <w:bCs/>
          <w:sz w:val="24"/>
          <w:szCs w:val="24"/>
          <w:lang w:val="mk-MK"/>
        </w:rPr>
        <w:t xml:space="preserve"> </w:t>
      </w:r>
      <w:r w:rsidRPr="00BD1F8D">
        <w:rPr>
          <w:rFonts w:ascii="Times New Roman" w:hAnsi="Times New Roman"/>
          <w:bCs/>
          <w:sz w:val="24"/>
          <w:szCs w:val="24"/>
        </w:rPr>
        <w:t>in accordance with the two Laws</w:t>
      </w:r>
      <w:r>
        <w:rPr>
          <w:rFonts w:ascii="Times New Roman" w:hAnsi="Times New Roman"/>
          <w:bCs/>
          <w:sz w:val="24"/>
          <w:szCs w:val="24"/>
          <w:lang w:val="mk-MK"/>
        </w:rPr>
        <w:t>.</w:t>
      </w:r>
    </w:p>
    <w:p w:rsidR="009962E3" w:rsidRPr="00BD1F8D" w:rsidRDefault="009962E3" w:rsidP="00BD1F8D">
      <w:pPr>
        <w:pStyle w:val="ListParagraph"/>
        <w:numPr>
          <w:ilvl w:val="0"/>
          <w:numId w:val="39"/>
        </w:numPr>
        <w:tabs>
          <w:tab w:val="num" w:pos="720"/>
        </w:tabs>
        <w:spacing w:before="100" w:beforeAutospacing="1" w:after="100" w:afterAutospacing="1"/>
        <w:jc w:val="both"/>
        <w:rPr>
          <w:rFonts w:ascii="Times New Roman" w:hAnsi="Times New Roman"/>
          <w:bCs/>
          <w:sz w:val="24"/>
          <w:szCs w:val="24"/>
        </w:rPr>
      </w:pPr>
      <w:r>
        <w:rPr>
          <w:rFonts w:ascii="Times New Roman" w:hAnsi="Times New Roman"/>
          <w:bCs/>
          <w:sz w:val="24"/>
          <w:szCs w:val="24"/>
        </w:rPr>
        <w:t>C</w:t>
      </w:r>
      <w:r w:rsidRPr="00BD1F8D">
        <w:rPr>
          <w:rFonts w:ascii="Times New Roman" w:hAnsi="Times New Roman"/>
          <w:bCs/>
          <w:sz w:val="24"/>
          <w:szCs w:val="24"/>
        </w:rPr>
        <w:t xml:space="preserve">ooperation between journalists’ associations, self-regulatory bodies, NGOs and higher education institutions is of extreme importance </w:t>
      </w:r>
      <w:r>
        <w:rPr>
          <w:rFonts w:ascii="Times New Roman" w:hAnsi="Times New Roman"/>
          <w:bCs/>
          <w:sz w:val="24"/>
          <w:szCs w:val="24"/>
        </w:rPr>
        <w:t>when it comes to</w:t>
      </w:r>
      <w:r w:rsidRPr="00BD1F8D">
        <w:rPr>
          <w:rFonts w:ascii="Times New Roman" w:hAnsi="Times New Roman"/>
          <w:bCs/>
          <w:sz w:val="24"/>
          <w:szCs w:val="24"/>
        </w:rPr>
        <w:t xml:space="preserve"> “hate speech” topics, in </w:t>
      </w:r>
      <w:r>
        <w:rPr>
          <w:rFonts w:ascii="Times New Roman" w:hAnsi="Times New Roman"/>
          <w:bCs/>
          <w:sz w:val="24"/>
          <w:szCs w:val="24"/>
        </w:rPr>
        <w:t>order to develop a comprehensive and coordinated protection against discrimination on various grounds.</w:t>
      </w:r>
    </w:p>
    <w:sectPr w:rsidR="009962E3" w:rsidRPr="00BD1F8D" w:rsidSect="004B315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717" w:rsidRDefault="004B2717" w:rsidP="004E5A85">
      <w:pPr>
        <w:spacing w:after="0" w:line="240" w:lineRule="auto"/>
      </w:pPr>
      <w:r>
        <w:separator/>
      </w:r>
    </w:p>
  </w:endnote>
  <w:endnote w:type="continuationSeparator" w:id="0">
    <w:p w:rsidR="004B2717" w:rsidRDefault="004B2717" w:rsidP="004E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charset w:val="CC"/>
    <w:family w:val="roman"/>
    <w:pitch w:val="variable"/>
    <w:sig w:usb0="00000287" w:usb1="00000000" w:usb2="00000000" w:usb3="00000000" w:csb0="0000009F" w:csb1="00000000"/>
  </w:font>
  <w:font w:name="Wingdings 2">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rebuchet MS">
    <w:charset w:val="CC"/>
    <w:family w:val="swiss"/>
    <w:pitch w:val="variable"/>
    <w:sig w:usb0="00000287" w:usb1="00000000" w:usb2="00000000" w:usb3="00000000" w:csb0="0000009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Franklin Gothic Medium">
    <w:charset w:val="CC"/>
    <w:family w:val="swiss"/>
    <w:pitch w:val="variable"/>
    <w:sig w:usb0="00000287" w:usb1="00000000" w:usb2="00000000" w:usb3="00000000" w:csb0="0000009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2E3" w:rsidRDefault="004B2717">
    <w:pPr>
      <w:pStyle w:val="Footer"/>
      <w:jc w:val="right"/>
    </w:pPr>
    <w:r>
      <w:fldChar w:fldCharType="begin"/>
    </w:r>
    <w:r>
      <w:instrText xml:space="preserve"> PAGE   \* MERGEFORMAT </w:instrText>
    </w:r>
    <w:r>
      <w:fldChar w:fldCharType="separate"/>
    </w:r>
    <w:r w:rsidR="000C345A">
      <w:rPr>
        <w:noProof/>
      </w:rPr>
      <w:t>2</w:t>
    </w:r>
    <w:r>
      <w:rPr>
        <w:noProof/>
      </w:rPr>
      <w:fldChar w:fldCharType="end"/>
    </w:r>
  </w:p>
  <w:p w:rsidR="009962E3" w:rsidRDefault="0099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717" w:rsidRDefault="004B2717" w:rsidP="004E5A85">
      <w:pPr>
        <w:spacing w:after="0" w:line="240" w:lineRule="auto"/>
      </w:pPr>
      <w:r>
        <w:separator/>
      </w:r>
    </w:p>
  </w:footnote>
  <w:footnote w:type="continuationSeparator" w:id="0">
    <w:p w:rsidR="004B2717" w:rsidRDefault="004B2717" w:rsidP="004E5A85">
      <w:pPr>
        <w:spacing w:after="0" w:line="240" w:lineRule="auto"/>
      </w:pPr>
      <w:r>
        <w:continuationSeparator/>
      </w:r>
    </w:p>
  </w:footnote>
  <w:footnote w:id="1">
    <w:p w:rsidR="009962E3" w:rsidRDefault="009962E3" w:rsidP="007A0C3F">
      <w:pPr>
        <w:pStyle w:val="FootnoteText"/>
      </w:pPr>
      <w:r w:rsidRPr="002B4DDB">
        <w:rPr>
          <w:rStyle w:val="FootnoteReference"/>
          <w:rFonts w:ascii="Times New Roman" w:hAnsi="Times New Roman"/>
        </w:rPr>
        <w:footnoteRef/>
      </w:r>
      <w:r w:rsidRPr="002B4DDB">
        <w:rPr>
          <w:rFonts w:ascii="Times New Roman" w:hAnsi="Times New Roman" w:cs="Times New Roman"/>
        </w:rPr>
        <w:t xml:space="preserve"> </w:t>
      </w:r>
      <w:r>
        <w:rPr>
          <w:rFonts w:ascii="Times New Roman" w:hAnsi="Times New Roman" w:cs="Times New Roman"/>
          <w:lang w:val="en-US"/>
        </w:rPr>
        <w:t xml:space="preserve">For </w:t>
      </w:r>
      <w:r w:rsidRPr="002B4DDB">
        <w:rPr>
          <w:rFonts w:ascii="Times New Roman" w:hAnsi="Times New Roman" w:cs="Times New Roman"/>
          <w:lang w:val="en-US"/>
        </w:rPr>
        <w:t xml:space="preserve">more details </w:t>
      </w:r>
      <w:r>
        <w:rPr>
          <w:rFonts w:ascii="Times New Roman" w:hAnsi="Times New Roman" w:cs="Times New Roman"/>
          <w:lang w:val="en-US"/>
        </w:rPr>
        <w:t>visit</w:t>
      </w:r>
      <w:r w:rsidRPr="002B4DDB">
        <w:rPr>
          <w:rFonts w:ascii="Times New Roman" w:hAnsi="Times New Roman" w:cs="Times New Roman"/>
          <w:lang w:val="en-US"/>
        </w:rPr>
        <w:t xml:space="preserve">: </w:t>
      </w:r>
      <w:hyperlink r:id="rId1" w:history="1">
        <w:r w:rsidRPr="002B4DDB">
          <w:rPr>
            <w:rStyle w:val="Hyperlink"/>
            <w:rFonts w:ascii="Times New Roman" w:hAnsi="Times New Roman"/>
          </w:rPr>
          <w:t>http://ec.europa.eu/digital-agenda/en/avmsd-audiovisual-regulators</w:t>
        </w:r>
      </w:hyperlink>
      <w:r w:rsidRPr="002B4DDB">
        <w:rPr>
          <w:rFonts w:ascii="Times New Roman" w:hAnsi="Times New Roman" w:cs="Times New Roman"/>
          <w:lang w:val="en-US"/>
        </w:rPr>
        <w:t xml:space="preserve"> </w:t>
      </w:r>
    </w:p>
  </w:footnote>
  <w:footnote w:id="2">
    <w:p w:rsidR="009962E3" w:rsidRDefault="009962E3" w:rsidP="004B3159">
      <w:pPr>
        <w:pStyle w:val="FootnoteText"/>
      </w:pPr>
      <w:r w:rsidRPr="002B4DDB">
        <w:rPr>
          <w:rStyle w:val="FootnoteReference"/>
          <w:rFonts w:ascii="Times New Roman" w:hAnsi="Times New Roman"/>
        </w:rPr>
        <w:footnoteRef/>
      </w:r>
      <w:r w:rsidRPr="002B4DDB">
        <w:rPr>
          <w:rFonts w:ascii="Times New Roman" w:hAnsi="Times New Roman" w:cs="Times New Roman"/>
        </w:rPr>
        <w:t xml:space="preserve"> </w:t>
      </w:r>
      <w:r w:rsidRPr="002B4DDB">
        <w:rPr>
          <w:rFonts w:ascii="Times New Roman" w:hAnsi="Times New Roman" w:cs="Times New Roman"/>
          <w:lang w:val="sr-Latn-CS"/>
        </w:rPr>
        <w:t xml:space="preserve">Article 19, Universal Declaration of Human Rights: </w:t>
      </w:r>
      <w:r w:rsidRPr="002B4DDB">
        <w:rPr>
          <w:rFonts w:ascii="Times New Roman" w:hAnsi="Times New Roman" w:cs="Times New Roman"/>
        </w:rPr>
        <w:t xml:space="preserve"> </w:t>
      </w:r>
      <w:hyperlink r:id="rId2" w:anchor="a19" w:history="1">
        <w:r w:rsidRPr="002B4DDB">
          <w:rPr>
            <w:rStyle w:val="Hyperlink"/>
            <w:rFonts w:ascii="Times New Roman" w:hAnsi="Times New Roman"/>
          </w:rPr>
          <w:t>http://www.un.org/en/documents/udhr/index.shtml#a19</w:t>
        </w:r>
      </w:hyperlink>
      <w:r w:rsidRPr="002B4DDB">
        <w:rPr>
          <w:rFonts w:ascii="Times New Roman" w:hAnsi="Times New Roman" w:cs="Times New Roman"/>
        </w:rPr>
        <w:t xml:space="preserve"> </w:t>
      </w:r>
    </w:p>
  </w:footnote>
  <w:footnote w:id="3">
    <w:p w:rsidR="009962E3" w:rsidRDefault="009962E3" w:rsidP="004B3159">
      <w:pPr>
        <w:pStyle w:val="FootnoteText"/>
      </w:pPr>
      <w:r w:rsidRPr="002B4DDB">
        <w:rPr>
          <w:rStyle w:val="FootnoteReference"/>
          <w:rFonts w:ascii="Times New Roman" w:hAnsi="Times New Roman"/>
        </w:rPr>
        <w:footnoteRef/>
      </w:r>
      <w:r w:rsidRPr="002B4DDB">
        <w:rPr>
          <w:rFonts w:ascii="Times New Roman" w:hAnsi="Times New Roman" w:cs="Times New Roman"/>
        </w:rPr>
        <w:t xml:space="preserve"> </w:t>
      </w:r>
      <w:r w:rsidRPr="002B4DDB">
        <w:rPr>
          <w:rFonts w:ascii="Times New Roman" w:hAnsi="Times New Roman" w:cs="Times New Roman"/>
          <w:lang w:val="sr-Latn-CS"/>
        </w:rPr>
        <w:t xml:space="preserve">Article 10, </w:t>
      </w:r>
      <w:r w:rsidRPr="002B4DDB">
        <w:rPr>
          <w:rFonts w:ascii="Times New Roman" w:hAnsi="Times New Roman" w:cs="Times New Roman"/>
          <w:bCs/>
        </w:rPr>
        <w:t>European Convention of Human Rights</w:t>
      </w:r>
      <w:r w:rsidRPr="002B4DDB">
        <w:rPr>
          <w:rFonts w:ascii="Times New Roman" w:hAnsi="Times New Roman" w:cs="Times New Roman"/>
          <w:lang w:val="sr-Latn-CS"/>
        </w:rPr>
        <w:t xml:space="preserve">: </w:t>
      </w:r>
      <w:hyperlink r:id="rId3" w:history="1">
        <w:r w:rsidRPr="002B4DDB">
          <w:rPr>
            <w:rStyle w:val="Hyperlink"/>
            <w:rFonts w:ascii="Times New Roman" w:hAnsi="Times New Roman"/>
            <w:lang w:val="sr-Latn-CS"/>
          </w:rPr>
          <w:t>http://www.echr.coe.int/NR/rdonlyres/D5CC24A7-DC13-4318-B457-5C9014916D7A/0/ENG_CONV.pdf</w:t>
        </w:r>
      </w:hyperlink>
      <w:r w:rsidRPr="002B4DDB">
        <w:rPr>
          <w:rFonts w:ascii="Times New Roman" w:hAnsi="Times New Roman" w:cs="Times New Roman"/>
          <w:lang w:val="sr-Latn-CS"/>
        </w:rPr>
        <w:t xml:space="preserve"> </w:t>
      </w:r>
    </w:p>
  </w:footnote>
  <w:footnote w:id="4">
    <w:p w:rsidR="009962E3" w:rsidRDefault="009962E3" w:rsidP="004B3159">
      <w:pPr>
        <w:pStyle w:val="FootnoteText"/>
      </w:pPr>
      <w:r>
        <w:rPr>
          <w:rStyle w:val="FootnoteReference"/>
          <w:rFonts w:cs="Calibri"/>
        </w:rPr>
        <w:footnoteRef/>
      </w:r>
      <w:r>
        <w:t xml:space="preserve"> </w:t>
      </w:r>
      <w:r>
        <w:rPr>
          <w:lang w:val="en-US"/>
        </w:rPr>
        <w:t xml:space="preserve">Recommendation No. R (97) 20 on “hate speech” adopted by the Committee of Ministers of the Council of Europe on 30 October 1997, available at: </w:t>
      </w:r>
      <w:hyperlink r:id="rId4" w:history="1">
        <w:r w:rsidRPr="00BB5731">
          <w:rPr>
            <w:rStyle w:val="Hyperlink"/>
            <w:rFonts w:cs="Calibri"/>
          </w:rPr>
          <w:t>www.coe.int/t/dghl/standardsetting/hrpolicy/other_committees/dh-lgbt_docs/CM_Rec(97)20_en.pdf</w:t>
        </w:r>
      </w:hyperlink>
      <w:r>
        <w:rPr>
          <w:lang w:val="en-US"/>
        </w:rPr>
        <w:t xml:space="preserve"> (accessed on 22th September 2014)</w:t>
      </w:r>
    </w:p>
  </w:footnote>
  <w:footnote w:id="5">
    <w:p w:rsidR="009962E3" w:rsidRDefault="009962E3" w:rsidP="004B3159">
      <w:pPr>
        <w:pStyle w:val="FootnoteText"/>
      </w:pPr>
      <w:r>
        <w:rPr>
          <w:rStyle w:val="FootnoteReference"/>
          <w:rFonts w:cs="Calibri"/>
        </w:rPr>
        <w:footnoteRef/>
      </w:r>
      <w:r>
        <w:t xml:space="preserve"> </w:t>
      </w:r>
      <w:r>
        <w:rPr>
          <w:i/>
        </w:rPr>
        <w:t>F</w:t>
      </w:r>
      <w:r w:rsidRPr="00AE16B9">
        <w:rPr>
          <w:i/>
        </w:rPr>
        <w:t>or example</w:t>
      </w:r>
      <w:r>
        <w:rPr>
          <w:i/>
        </w:rPr>
        <w:t>,</w:t>
      </w:r>
      <w:r w:rsidRPr="00AE16B9">
        <w:rPr>
          <w:i/>
        </w:rPr>
        <w:t xml:space="preserve"> by allowing interested non-governmental organisations to bring civil law actions, providing for compensation for victims of hate speech and providing for the possibility of court orders allowing victims a right of reply or ordering retraction</w:t>
      </w:r>
      <w:r>
        <w:rPr>
          <w:i/>
        </w:rPr>
        <w:t>.</w:t>
      </w:r>
    </w:p>
  </w:footnote>
  <w:footnote w:id="6">
    <w:p w:rsidR="009962E3" w:rsidRDefault="009962E3" w:rsidP="004B3159">
      <w:pPr>
        <w:pStyle w:val="FootnoteText"/>
      </w:pPr>
      <w:r>
        <w:rPr>
          <w:rStyle w:val="FootnoteReference"/>
          <w:rFonts w:cs="Calibri"/>
        </w:rPr>
        <w:footnoteRef/>
      </w:r>
      <w:r>
        <w:t xml:space="preserve"> </w:t>
      </w:r>
      <w:r>
        <w:rPr>
          <w:lang w:val="en-US"/>
        </w:rPr>
        <w:t>When prescribed by the law, when the aim is legitimate and when it is necessary in a democratic society.</w:t>
      </w:r>
    </w:p>
  </w:footnote>
  <w:footnote w:id="7">
    <w:p w:rsidR="009962E3" w:rsidRDefault="009962E3" w:rsidP="004B3159">
      <w:pPr>
        <w:pStyle w:val="FootnoteText"/>
      </w:pPr>
      <w:r>
        <w:rPr>
          <w:rStyle w:val="FootnoteReference"/>
          <w:rFonts w:cs="Calibri"/>
        </w:rPr>
        <w:footnoteRef/>
      </w:r>
      <w:r>
        <w:t xml:space="preserve"> </w:t>
      </w:r>
      <w:r>
        <w:rPr>
          <w:bCs/>
        </w:rPr>
        <w:t>Recommendation No.R (97) 21 on the media and the promotion of a culture of tolerance, adopted by the Committee of Ministers of the Council of Europe on 30</w:t>
      </w:r>
      <w:r w:rsidRPr="00F32595">
        <w:rPr>
          <w:bCs/>
          <w:vertAlign w:val="superscript"/>
        </w:rPr>
        <w:t>th</w:t>
      </w:r>
      <w:r>
        <w:rPr>
          <w:bCs/>
        </w:rPr>
        <w:t xml:space="preserve"> October 1997, available at: </w:t>
      </w:r>
      <w:hyperlink r:id="rId5" w:history="1">
        <w:r w:rsidRPr="00BB5731">
          <w:rPr>
            <w:rStyle w:val="Hyperlink"/>
            <w:rFonts w:cs="Calibri"/>
            <w:bCs/>
          </w:rPr>
          <w:t>www.coe.int/t/dghl/standardsetting/hrpolicy/other_committees/dh-lgbt_docs/CM_Rec(97)21_en.pdf</w:t>
        </w:r>
      </w:hyperlink>
      <w:r>
        <w:rPr>
          <w:bCs/>
        </w:rPr>
        <w:t xml:space="preserve"> (Accessed on 22</w:t>
      </w:r>
      <w:r w:rsidRPr="00A77731">
        <w:rPr>
          <w:bCs/>
          <w:vertAlign w:val="superscript"/>
        </w:rPr>
        <w:t>nd</w:t>
      </w:r>
      <w:r>
        <w:rPr>
          <w:bCs/>
        </w:rPr>
        <w:t xml:space="preserve"> September 2014.)</w:t>
      </w:r>
    </w:p>
  </w:footnote>
  <w:footnote w:id="8">
    <w:p w:rsidR="009962E3" w:rsidRDefault="009962E3" w:rsidP="004B3159">
      <w:pPr>
        <w:pStyle w:val="FootnoteText"/>
      </w:pPr>
      <w:r>
        <w:rPr>
          <w:rStyle w:val="FootnoteReference"/>
          <w:rFonts w:cs="Calibri"/>
        </w:rPr>
        <w:footnoteRef/>
      </w:r>
      <w:r>
        <w:t xml:space="preserve"> </w:t>
      </w:r>
      <w:r>
        <w:rPr>
          <w:sz w:val="23"/>
          <w:szCs w:val="23"/>
        </w:rPr>
        <w:t>Declaration on Freedom of Political Debate in the Media adopted by the Committee of Ministers of the Council of Europe on 12</w:t>
      </w:r>
      <w:r w:rsidRPr="00756AE4">
        <w:rPr>
          <w:sz w:val="23"/>
          <w:szCs w:val="23"/>
          <w:vertAlign w:val="superscript"/>
        </w:rPr>
        <w:t>th</w:t>
      </w:r>
      <w:r>
        <w:rPr>
          <w:sz w:val="23"/>
          <w:szCs w:val="23"/>
        </w:rPr>
        <w:t xml:space="preserve"> February 2004. Available at: </w:t>
      </w:r>
      <w:hyperlink r:id="rId6" w:history="1">
        <w:r w:rsidRPr="00BB5731">
          <w:rPr>
            <w:rStyle w:val="Hyperlink"/>
            <w:rFonts w:cs="Calibri"/>
            <w:sz w:val="23"/>
            <w:szCs w:val="23"/>
          </w:rPr>
          <w:t>https://wcd.coe.int/ViewDoc.jsp?id=118995&amp;Site=CM</w:t>
        </w:r>
      </w:hyperlink>
      <w:r>
        <w:rPr>
          <w:sz w:val="23"/>
          <w:szCs w:val="23"/>
        </w:rPr>
        <w:t xml:space="preserve"> (accessed on 22</w:t>
      </w:r>
      <w:r w:rsidRPr="00756AE4">
        <w:rPr>
          <w:sz w:val="23"/>
          <w:szCs w:val="23"/>
          <w:vertAlign w:val="superscript"/>
        </w:rPr>
        <w:t>nd</w:t>
      </w:r>
      <w:r>
        <w:rPr>
          <w:sz w:val="23"/>
          <w:szCs w:val="23"/>
        </w:rPr>
        <w:t xml:space="preserve"> September 2014)</w:t>
      </w:r>
    </w:p>
  </w:footnote>
  <w:footnote w:id="9">
    <w:p w:rsidR="009962E3" w:rsidRDefault="009962E3" w:rsidP="004B3159">
      <w:pPr>
        <w:pStyle w:val="FootnoteText"/>
      </w:pPr>
      <w:r w:rsidRPr="002B4DDB">
        <w:rPr>
          <w:rStyle w:val="FootnoteReference"/>
          <w:rFonts w:ascii="Times New Roman" w:hAnsi="Times New Roman"/>
        </w:rPr>
        <w:footnoteRef/>
      </w:r>
      <w:r w:rsidRPr="002B4DDB">
        <w:rPr>
          <w:rFonts w:ascii="Times New Roman" w:hAnsi="Times New Roman" w:cs="Times New Roman"/>
        </w:rPr>
        <w:t xml:space="preserve"> </w:t>
      </w:r>
      <w:r w:rsidRPr="002B4DDB">
        <w:rPr>
          <w:rFonts w:ascii="Times New Roman" w:hAnsi="Times New Roman" w:cs="Times New Roman"/>
          <w:sz w:val="23"/>
          <w:szCs w:val="23"/>
        </w:rPr>
        <w:t>Recommendation CM/Rec(2011) 7 of the Committee of Ministers to member states on a new notion of media, adopted on 21</w:t>
      </w:r>
      <w:r w:rsidRPr="002B4DDB">
        <w:rPr>
          <w:rFonts w:ascii="Times New Roman" w:hAnsi="Times New Roman" w:cs="Times New Roman"/>
          <w:sz w:val="23"/>
          <w:szCs w:val="23"/>
          <w:vertAlign w:val="superscript"/>
        </w:rPr>
        <w:t>st</w:t>
      </w:r>
      <w:r w:rsidRPr="002B4DDB">
        <w:rPr>
          <w:rFonts w:ascii="Times New Roman" w:hAnsi="Times New Roman" w:cs="Times New Roman"/>
          <w:sz w:val="23"/>
          <w:szCs w:val="23"/>
        </w:rPr>
        <w:t xml:space="preserve"> September 2011, available at: </w:t>
      </w:r>
      <w:hyperlink r:id="rId7" w:history="1">
        <w:r w:rsidRPr="002B4DDB">
          <w:rPr>
            <w:rStyle w:val="Hyperlink"/>
            <w:rFonts w:ascii="Times New Roman" w:hAnsi="Times New Roman"/>
            <w:sz w:val="23"/>
            <w:szCs w:val="23"/>
          </w:rPr>
          <w:t>https://wcd.coe.int/ViewDoc.jsp?id=1835645&amp;Site=CM&amp;BackColorInternet=C3C3C3&amp;BackColorIntranet=EDB021&amp;BackColorLogged=F5D383</w:t>
        </w:r>
      </w:hyperlink>
      <w:r w:rsidRPr="002B4DDB">
        <w:rPr>
          <w:rFonts w:ascii="Times New Roman" w:hAnsi="Times New Roman" w:cs="Times New Roman"/>
          <w:sz w:val="23"/>
          <w:szCs w:val="23"/>
        </w:rPr>
        <w:t xml:space="preserve"> (accessed 22</w:t>
      </w:r>
      <w:r w:rsidRPr="002B4DDB">
        <w:rPr>
          <w:rFonts w:ascii="Times New Roman" w:hAnsi="Times New Roman" w:cs="Times New Roman"/>
          <w:sz w:val="23"/>
          <w:szCs w:val="23"/>
          <w:vertAlign w:val="superscript"/>
        </w:rPr>
        <w:t>nd</w:t>
      </w:r>
      <w:r w:rsidRPr="002B4DDB">
        <w:rPr>
          <w:rFonts w:ascii="Times New Roman" w:hAnsi="Times New Roman" w:cs="Times New Roman"/>
          <w:sz w:val="23"/>
          <w:szCs w:val="23"/>
        </w:rPr>
        <w:t xml:space="preserve"> September 2014).</w:t>
      </w:r>
    </w:p>
  </w:footnote>
  <w:footnote w:id="10">
    <w:p w:rsidR="009962E3" w:rsidRPr="002B4DDB" w:rsidRDefault="009962E3" w:rsidP="004B3159">
      <w:pPr>
        <w:pStyle w:val="Default"/>
        <w:rPr>
          <w:rFonts w:ascii="Times New Roman" w:hAnsi="Times New Roman" w:cs="Times New Roman"/>
          <w:sz w:val="20"/>
          <w:szCs w:val="20"/>
        </w:rPr>
      </w:pPr>
      <w:r w:rsidRPr="002B4DDB">
        <w:rPr>
          <w:rStyle w:val="FootnoteReference"/>
          <w:rFonts w:ascii="Times New Roman" w:hAnsi="Times New Roman"/>
        </w:rPr>
        <w:footnoteRef/>
      </w:r>
      <w:r w:rsidRPr="002B4DDB">
        <w:rPr>
          <w:rFonts w:ascii="Times New Roman" w:hAnsi="Times New Roman" w:cs="Times New Roman"/>
        </w:rPr>
        <w:t xml:space="preserve"> </w:t>
      </w:r>
      <w:r w:rsidRPr="002B4DDB">
        <w:rPr>
          <w:rFonts w:ascii="Times New Roman" w:hAnsi="Times New Roman" w:cs="Times New Roman"/>
          <w:sz w:val="20"/>
          <w:szCs w:val="20"/>
        </w:rPr>
        <w:t>Additional Protocol to the Convention on Cybercrime, concerning the criminalisation of acts of a racist and xenophobic nature committed through computer systems, CETS No.: 189, available at:</w:t>
      </w:r>
    </w:p>
    <w:p w:rsidR="009962E3" w:rsidRDefault="009962E3" w:rsidP="004B3159">
      <w:pPr>
        <w:pStyle w:val="FootnoteText"/>
      </w:pPr>
      <w:r w:rsidRPr="002B4DDB">
        <w:rPr>
          <w:rFonts w:ascii="Times New Roman" w:hAnsi="Times New Roman" w:cs="Times New Roman"/>
          <w:lang w:val="en-US"/>
        </w:rPr>
        <w:t xml:space="preserve"> </w:t>
      </w:r>
      <w:hyperlink r:id="rId8" w:history="1">
        <w:r w:rsidRPr="002B4DDB">
          <w:rPr>
            <w:rStyle w:val="Hyperlink"/>
            <w:rFonts w:ascii="Times New Roman" w:hAnsi="Times New Roman"/>
          </w:rPr>
          <w:t>http://www.conventions.coe.int/treaty/EN/treaties/html/189.htm</w:t>
        </w:r>
      </w:hyperlink>
      <w:r w:rsidRPr="002B4DDB">
        <w:rPr>
          <w:rFonts w:ascii="Times New Roman" w:hAnsi="Times New Roman" w:cs="Times New Roman"/>
          <w:lang w:val="en-US"/>
        </w:rPr>
        <w:t xml:space="preserve"> (accessed 22nd September 2014)</w:t>
      </w:r>
    </w:p>
  </w:footnote>
  <w:footnote w:id="11">
    <w:p w:rsidR="009962E3" w:rsidRPr="002B4DDB" w:rsidRDefault="009962E3" w:rsidP="002B4DDB">
      <w:pPr>
        <w:spacing w:line="240" w:lineRule="auto"/>
        <w:jc w:val="both"/>
        <w:rPr>
          <w:rFonts w:ascii="Times New Roman" w:hAnsi="Times New Roman" w:cs="Times New Roman"/>
          <w:bCs/>
          <w:i/>
          <w:sz w:val="20"/>
          <w:szCs w:val="20"/>
        </w:rPr>
      </w:pPr>
      <w:r w:rsidRPr="00601925">
        <w:rPr>
          <w:rStyle w:val="FootnoteReference"/>
          <w:rFonts w:ascii="Times New Roman" w:hAnsi="Times New Roman" w:cs="Calibri"/>
          <w:sz w:val="18"/>
          <w:szCs w:val="18"/>
        </w:rPr>
        <w:footnoteRef/>
      </w:r>
      <w:r w:rsidRPr="00601925">
        <w:rPr>
          <w:rFonts w:ascii="Times New Roman" w:hAnsi="Times New Roman"/>
          <w:sz w:val="18"/>
          <w:szCs w:val="18"/>
        </w:rPr>
        <w:t xml:space="preserve"> “</w:t>
      </w:r>
      <w:r w:rsidRPr="00601925">
        <w:rPr>
          <w:rFonts w:ascii="Times New Roman" w:hAnsi="Times New Roman"/>
          <w:i/>
          <w:sz w:val="20"/>
          <w:szCs w:val="20"/>
        </w:rPr>
        <w:t>Everyone</w:t>
      </w:r>
      <w:r w:rsidRPr="00601925">
        <w:rPr>
          <w:rFonts w:ascii="Times New Roman" w:hAnsi="Times New Roman"/>
          <w:bCs/>
          <w:i/>
          <w:sz w:val="20"/>
          <w:szCs w:val="20"/>
        </w:rPr>
        <w:t xml:space="preserve"> has the right to freedom of expression. This right shall include freedom to hold opinions and to receive </w:t>
      </w:r>
      <w:r w:rsidRPr="002B4DDB">
        <w:rPr>
          <w:rFonts w:ascii="Times New Roman" w:hAnsi="Times New Roman" w:cs="Times New Roman"/>
          <w:bCs/>
          <w:i/>
          <w:sz w:val="20"/>
          <w:szCs w:val="20"/>
        </w:rPr>
        <w:t>and impart information and ideas without interference by public authority and regardless of frontiers. This article shall not prevent States from requiring the licensing of broadcasting, television or cinema enterprises.</w:t>
      </w:r>
    </w:p>
    <w:p w:rsidR="009962E3" w:rsidRDefault="009962E3" w:rsidP="002B4DDB">
      <w:pPr>
        <w:spacing w:line="240" w:lineRule="auto"/>
        <w:jc w:val="both"/>
      </w:pPr>
      <w:r>
        <w:rPr>
          <w:rFonts w:ascii="Times New Roman" w:hAnsi="Times New Roman" w:cs="Times New Roman"/>
          <w:bCs/>
          <w:i/>
          <w:sz w:val="20"/>
          <w:szCs w:val="20"/>
        </w:rPr>
        <w:t>“</w:t>
      </w:r>
      <w:r w:rsidRPr="002B4DDB">
        <w:rPr>
          <w:rFonts w:ascii="Times New Roman" w:hAnsi="Times New Roman" w:cs="Times New Roman"/>
          <w:bCs/>
          <w:i/>
          <w:sz w:val="20"/>
          <w:szCs w:val="20"/>
        </w:rPr>
        <w:t>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the rights of others, for preventing the disclosure of information received in confidence, or for maintaining the authority and impartiality of the judiciary”</w:t>
      </w:r>
    </w:p>
  </w:footnote>
  <w:footnote w:id="12">
    <w:p w:rsidR="009962E3" w:rsidRDefault="009962E3" w:rsidP="002B4DDB">
      <w:pPr>
        <w:pStyle w:val="FootnoteText"/>
      </w:pPr>
      <w:r w:rsidRPr="002B4DDB">
        <w:rPr>
          <w:rStyle w:val="FootnoteReference"/>
          <w:rFonts w:ascii="Times New Roman" w:hAnsi="Times New Roman"/>
        </w:rPr>
        <w:footnoteRef/>
      </w:r>
      <w:r w:rsidRPr="002B4DDB">
        <w:rPr>
          <w:rFonts w:ascii="Times New Roman" w:hAnsi="Times New Roman" w:cs="Times New Roman"/>
        </w:rPr>
        <w:t xml:space="preserve"> How to make a valid application? See: </w:t>
      </w:r>
      <w:hyperlink r:id="rId9" w:history="1">
        <w:r w:rsidRPr="002B4DDB">
          <w:rPr>
            <w:rStyle w:val="Hyperlink"/>
            <w:rFonts w:ascii="Times New Roman" w:hAnsi="Times New Roman"/>
          </w:rPr>
          <w:t>http://www.echr.coe.int/Pages/home.aspx?p=applicants</w:t>
        </w:r>
      </w:hyperlink>
      <w:r w:rsidRPr="002B4DDB">
        <w:rPr>
          <w:rFonts w:ascii="Times New Roman" w:hAnsi="Times New Roman" w:cs="Times New Roman"/>
        </w:rPr>
        <w:t xml:space="preserve"> </w:t>
      </w:r>
      <w:r>
        <w:rPr>
          <w:rFonts w:ascii="Times New Roman" w:hAnsi="Times New Roman" w:cs="Times New Roman"/>
        </w:rPr>
        <w:t xml:space="preserve"> </w:t>
      </w:r>
      <w:r w:rsidRPr="002B4DDB">
        <w:rPr>
          <w:rFonts w:ascii="Times New Roman" w:hAnsi="Times New Roman" w:cs="Times New Roman"/>
        </w:rPr>
        <w:t>(accessed on 25</w:t>
      </w:r>
      <w:r w:rsidRPr="002B4DDB">
        <w:rPr>
          <w:rFonts w:ascii="Times New Roman" w:hAnsi="Times New Roman" w:cs="Times New Roman"/>
          <w:vertAlign w:val="superscript"/>
        </w:rPr>
        <w:t>th</w:t>
      </w:r>
      <w:r w:rsidRPr="002B4DDB">
        <w:rPr>
          <w:rFonts w:ascii="Times New Roman" w:hAnsi="Times New Roman" w:cs="Times New Roman"/>
        </w:rPr>
        <w:t xml:space="preserve"> September 2014)</w:t>
      </w:r>
    </w:p>
  </w:footnote>
  <w:footnote w:id="13">
    <w:p w:rsidR="009962E3" w:rsidRDefault="009962E3" w:rsidP="004B3159">
      <w:pPr>
        <w:pStyle w:val="FootnoteText"/>
      </w:pPr>
      <w:r w:rsidRPr="00E53222">
        <w:rPr>
          <w:rStyle w:val="FootnoteReference"/>
          <w:rFonts w:ascii="Times New Roman" w:hAnsi="Times New Roman"/>
        </w:rPr>
        <w:footnoteRef/>
      </w:r>
      <w:r w:rsidRPr="00E53222">
        <w:rPr>
          <w:rFonts w:ascii="Times New Roman" w:hAnsi="Times New Roman" w:cs="Times New Roman"/>
        </w:rPr>
        <w:t xml:space="preserve"> </w:t>
      </w:r>
      <w:r>
        <w:rPr>
          <w:rFonts w:ascii="Times New Roman" w:hAnsi="Times New Roman" w:cs="Times New Roman"/>
          <w:lang w:val="en-US"/>
        </w:rPr>
        <w:t xml:space="preserve">For </w:t>
      </w:r>
      <w:r w:rsidRPr="00E53222">
        <w:rPr>
          <w:rFonts w:ascii="Times New Roman" w:hAnsi="Times New Roman" w:cs="Times New Roman"/>
          <w:lang w:val="en-US"/>
        </w:rPr>
        <w:t>more details</w:t>
      </w:r>
      <w:r>
        <w:rPr>
          <w:rFonts w:ascii="Times New Roman" w:hAnsi="Times New Roman" w:cs="Times New Roman"/>
          <w:lang w:val="en-US"/>
        </w:rPr>
        <w:t>, see</w:t>
      </w:r>
      <w:r w:rsidRPr="00E53222">
        <w:rPr>
          <w:rFonts w:ascii="Times New Roman" w:hAnsi="Times New Roman" w:cs="Times New Roman"/>
          <w:lang w:val="en-US"/>
        </w:rPr>
        <w:t>: Mario Oitheimer, Protecting Freedom of Expression: “The Challenge of Hate Speech in the European Court of Human Rights Case Law”, Cardozo Journal of International &amp; Comparative Law , 9</w:t>
      </w:r>
      <w:r w:rsidRPr="00E53222">
        <w:rPr>
          <w:rFonts w:ascii="Times New Roman" w:hAnsi="Times New Roman" w:cs="Times New Roman"/>
          <w:vertAlign w:val="superscript"/>
          <w:lang w:val="en-US"/>
        </w:rPr>
        <w:t>th</w:t>
      </w:r>
      <w:r w:rsidRPr="00E53222">
        <w:rPr>
          <w:rFonts w:ascii="Times New Roman" w:hAnsi="Times New Roman" w:cs="Times New Roman"/>
          <w:lang w:val="en-US"/>
        </w:rPr>
        <w:t xml:space="preserve"> November 2009, page 8.</w:t>
      </w:r>
    </w:p>
  </w:footnote>
  <w:footnote w:id="14">
    <w:p w:rsidR="009962E3" w:rsidRDefault="009962E3" w:rsidP="004B3159">
      <w:pPr>
        <w:pStyle w:val="FootnoteText"/>
      </w:pPr>
      <w:r w:rsidRPr="00E53222">
        <w:rPr>
          <w:rStyle w:val="FootnoteReference"/>
          <w:rFonts w:ascii="Times New Roman" w:hAnsi="Times New Roman"/>
        </w:rPr>
        <w:footnoteRef/>
      </w:r>
      <w:r w:rsidRPr="00E53222">
        <w:rPr>
          <w:rFonts w:ascii="Times New Roman" w:hAnsi="Times New Roman" w:cs="Times New Roman"/>
        </w:rPr>
        <w:t xml:space="preserve"> </w:t>
      </w:r>
      <w:r w:rsidRPr="00E53222">
        <w:rPr>
          <w:rFonts w:ascii="Times New Roman" w:hAnsi="Times New Roman" w:cs="Times New Roman"/>
          <w:lang w:val="en-US"/>
        </w:rPr>
        <w:t xml:space="preserve">Ibid, page 15. </w:t>
      </w:r>
    </w:p>
  </w:footnote>
  <w:footnote w:id="15">
    <w:p w:rsidR="009962E3" w:rsidRDefault="009962E3" w:rsidP="004B3159">
      <w:pPr>
        <w:pStyle w:val="FootnoteText"/>
      </w:pPr>
      <w:r w:rsidRPr="00E53222">
        <w:rPr>
          <w:rStyle w:val="FootnoteReference"/>
          <w:rFonts w:ascii="Times New Roman" w:hAnsi="Times New Roman"/>
        </w:rPr>
        <w:footnoteRef/>
      </w:r>
      <w:r w:rsidRPr="00E53222">
        <w:rPr>
          <w:rFonts w:ascii="Times New Roman" w:hAnsi="Times New Roman" w:cs="Times New Roman"/>
        </w:rPr>
        <w:t xml:space="preserve"> </w:t>
      </w:r>
      <w:r w:rsidRPr="00E53222">
        <w:rPr>
          <w:rFonts w:ascii="Times New Roman" w:hAnsi="Times New Roman" w:cs="Times New Roman"/>
          <w:lang w:val="en-US"/>
        </w:rPr>
        <w:t>Ibid, page 14.</w:t>
      </w:r>
    </w:p>
  </w:footnote>
  <w:footnote w:id="16">
    <w:p w:rsidR="009962E3" w:rsidRDefault="009962E3" w:rsidP="004B3159">
      <w:pPr>
        <w:pStyle w:val="FootnoteText"/>
      </w:pPr>
      <w:r w:rsidRPr="00E53222">
        <w:rPr>
          <w:rStyle w:val="FootnoteReference"/>
          <w:rFonts w:ascii="Times New Roman" w:hAnsi="Times New Roman"/>
        </w:rPr>
        <w:footnoteRef/>
      </w:r>
      <w:r w:rsidRPr="00E53222">
        <w:rPr>
          <w:rFonts w:ascii="Times New Roman" w:hAnsi="Times New Roman" w:cs="Times New Roman"/>
        </w:rPr>
        <w:t xml:space="preserve"> Council of Europe Manual on Hate Speech, Factsheet, Council of Europe, November 2008, page 4.</w:t>
      </w:r>
    </w:p>
  </w:footnote>
  <w:footnote w:id="17">
    <w:p w:rsidR="009962E3" w:rsidRDefault="009962E3" w:rsidP="004B3159">
      <w:pPr>
        <w:pStyle w:val="FootnoteText"/>
      </w:pPr>
      <w:r w:rsidRPr="00E53222">
        <w:rPr>
          <w:rStyle w:val="FootnoteReference"/>
          <w:rFonts w:ascii="Times New Roman" w:hAnsi="Times New Roman"/>
        </w:rPr>
        <w:footnoteRef/>
      </w:r>
      <w:r w:rsidRPr="00E53222">
        <w:rPr>
          <w:rFonts w:ascii="Times New Roman" w:hAnsi="Times New Roman" w:cs="Times New Roman"/>
        </w:rPr>
        <w:t xml:space="preserve"> </w:t>
      </w:r>
      <w:r w:rsidRPr="00E53222">
        <w:rPr>
          <w:rFonts w:ascii="Times New Roman" w:hAnsi="Times New Roman" w:cs="Times New Roman"/>
          <w:lang w:val="en-US"/>
        </w:rPr>
        <w:t xml:space="preserve">Ibid, page 3. </w:t>
      </w:r>
    </w:p>
  </w:footnote>
  <w:footnote w:id="18">
    <w:p w:rsidR="009962E3" w:rsidRDefault="009962E3" w:rsidP="004B3159">
      <w:pPr>
        <w:pStyle w:val="FootnoteText"/>
      </w:pPr>
      <w:r w:rsidRPr="00E53222">
        <w:rPr>
          <w:rStyle w:val="FootnoteReference"/>
          <w:rFonts w:ascii="Times New Roman" w:hAnsi="Times New Roman"/>
        </w:rPr>
        <w:footnoteRef/>
      </w:r>
      <w:r w:rsidRPr="00E53222">
        <w:rPr>
          <w:rFonts w:ascii="Times New Roman" w:hAnsi="Times New Roman" w:cs="Times New Roman"/>
        </w:rPr>
        <w:t xml:space="preserve"> </w:t>
      </w:r>
      <w:r>
        <w:rPr>
          <w:rFonts w:ascii="Times New Roman" w:hAnsi="Times New Roman" w:cs="Times New Roman"/>
        </w:rPr>
        <w:t>For more details s</w:t>
      </w:r>
      <w:r w:rsidRPr="00E53222">
        <w:rPr>
          <w:rFonts w:ascii="Times New Roman" w:hAnsi="Times New Roman" w:cs="Times New Roman"/>
          <w:lang w:val="en-US"/>
        </w:rPr>
        <w:t>ee: Mario Oitheimer, Protecting Freedom of Expression: “The Challenge of Hate Speech in the European Court of Human Rights Case Law”, Cardozo Journal of International &amp; Comparative Law , 9</w:t>
      </w:r>
      <w:r w:rsidRPr="00E53222">
        <w:rPr>
          <w:rFonts w:ascii="Times New Roman" w:hAnsi="Times New Roman" w:cs="Times New Roman"/>
          <w:vertAlign w:val="superscript"/>
          <w:lang w:val="en-US"/>
        </w:rPr>
        <w:t>th</w:t>
      </w:r>
      <w:r w:rsidRPr="00E53222">
        <w:rPr>
          <w:rFonts w:ascii="Times New Roman" w:hAnsi="Times New Roman" w:cs="Times New Roman"/>
          <w:lang w:val="en-US"/>
        </w:rPr>
        <w:t xml:space="preserve"> November 2009, page 14.</w:t>
      </w:r>
    </w:p>
  </w:footnote>
  <w:footnote w:id="19">
    <w:p w:rsidR="009962E3" w:rsidRDefault="009962E3" w:rsidP="004B3159">
      <w:pPr>
        <w:pStyle w:val="FootnoteText"/>
      </w:pPr>
      <w:r w:rsidRPr="00E53222">
        <w:rPr>
          <w:rStyle w:val="FootnoteReference"/>
          <w:rFonts w:ascii="Times New Roman" w:hAnsi="Times New Roman"/>
        </w:rPr>
        <w:footnoteRef/>
      </w:r>
      <w:r w:rsidRPr="00E53222">
        <w:rPr>
          <w:rFonts w:ascii="Times New Roman" w:hAnsi="Times New Roman" w:cs="Times New Roman"/>
        </w:rPr>
        <w:t xml:space="preserve"> </w:t>
      </w:r>
      <w:r w:rsidRPr="00E53222">
        <w:rPr>
          <w:rFonts w:ascii="Times New Roman" w:hAnsi="Times New Roman" w:cs="Times New Roman"/>
          <w:lang w:val="en-US"/>
        </w:rPr>
        <w:t xml:space="preserve">Ibid. </w:t>
      </w:r>
    </w:p>
  </w:footnote>
  <w:footnote w:id="20">
    <w:p w:rsidR="009962E3" w:rsidRDefault="009962E3" w:rsidP="004B3159">
      <w:pPr>
        <w:pStyle w:val="FootnoteText"/>
      </w:pPr>
      <w:r w:rsidRPr="00E53222">
        <w:rPr>
          <w:rStyle w:val="FootnoteReference"/>
          <w:rFonts w:ascii="Times New Roman" w:hAnsi="Times New Roman"/>
        </w:rPr>
        <w:footnoteRef/>
      </w:r>
      <w:r w:rsidRPr="00E53222">
        <w:rPr>
          <w:rFonts w:ascii="Times New Roman" w:hAnsi="Times New Roman" w:cs="Times New Roman"/>
        </w:rPr>
        <w:t xml:space="preserve"> </w:t>
      </w:r>
      <w:r>
        <w:rPr>
          <w:rFonts w:ascii="Times New Roman" w:hAnsi="Times New Roman" w:cs="Times New Roman"/>
        </w:rPr>
        <w:t>For more details s</w:t>
      </w:r>
      <w:r w:rsidRPr="00E53222">
        <w:rPr>
          <w:rFonts w:ascii="Times New Roman" w:hAnsi="Times New Roman" w:cs="Times New Roman"/>
          <w:lang w:val="en-US"/>
        </w:rPr>
        <w:t xml:space="preserve">ee </w:t>
      </w:r>
      <w:r w:rsidRPr="00E53222">
        <w:rPr>
          <w:rFonts w:ascii="Times New Roman" w:hAnsi="Times New Roman" w:cs="Times New Roman"/>
        </w:rPr>
        <w:t>Surek and Ozdemir v. Turkey case.</w:t>
      </w:r>
    </w:p>
  </w:footnote>
  <w:footnote w:id="21">
    <w:p w:rsidR="009962E3" w:rsidRDefault="009962E3" w:rsidP="004B3159">
      <w:pPr>
        <w:autoSpaceDE w:val="0"/>
        <w:autoSpaceDN w:val="0"/>
        <w:adjustRightInd w:val="0"/>
        <w:spacing w:after="0" w:line="240" w:lineRule="auto"/>
        <w:jc w:val="both"/>
      </w:pPr>
      <w:r w:rsidRPr="008C5533">
        <w:rPr>
          <w:rStyle w:val="FootnoteReference"/>
          <w:rFonts w:ascii="Times New Roman" w:hAnsi="Times New Roman" w:cs="Calibri"/>
          <w:sz w:val="20"/>
          <w:szCs w:val="20"/>
        </w:rPr>
        <w:footnoteRef/>
      </w:r>
      <w:r w:rsidRPr="008C5533">
        <w:rPr>
          <w:rFonts w:ascii="Times New Roman" w:hAnsi="Times New Roman"/>
          <w:sz w:val="20"/>
          <w:szCs w:val="20"/>
        </w:rPr>
        <w:t xml:space="preserve"> Such as: Freedom of Expression in Europe, Case-law concerning Article 10</w:t>
      </w:r>
      <w:r>
        <w:rPr>
          <w:rFonts w:ascii="Times New Roman" w:hAnsi="Times New Roman"/>
          <w:sz w:val="20"/>
          <w:szCs w:val="20"/>
        </w:rPr>
        <w:t xml:space="preserve"> </w:t>
      </w:r>
      <w:r w:rsidRPr="008C5533">
        <w:rPr>
          <w:rFonts w:ascii="Times New Roman" w:hAnsi="Times New Roman"/>
          <w:sz w:val="20"/>
          <w:szCs w:val="20"/>
        </w:rPr>
        <w:t>of the European Convention on Human Rights, Human Rights file No. 18, Council of Europe Publishing, March 2007.</w:t>
      </w:r>
    </w:p>
  </w:footnote>
  <w:footnote w:id="22">
    <w:p w:rsidR="009962E3" w:rsidRDefault="009962E3">
      <w:pPr>
        <w:pStyle w:val="FootnoteText"/>
      </w:pPr>
      <w:r w:rsidRPr="00740DA9">
        <w:rPr>
          <w:rStyle w:val="FootnoteReference"/>
          <w:rFonts w:ascii="Times New Roman" w:hAnsi="Times New Roman"/>
        </w:rPr>
        <w:footnoteRef/>
      </w:r>
      <w:r w:rsidRPr="00740DA9">
        <w:rPr>
          <w:rFonts w:ascii="Times New Roman" w:hAnsi="Times New Roman" w:cs="Times New Roman"/>
        </w:rPr>
        <w:t xml:space="preserve"> See p.24 of the CoE Manual on Hate Speech. Available at: </w:t>
      </w:r>
      <w:hyperlink r:id="rId10" w:history="1">
        <w:r w:rsidRPr="00740DA9">
          <w:rPr>
            <w:rStyle w:val="Hyperlink"/>
            <w:rFonts w:ascii="Times New Roman" w:hAnsi="Times New Roman"/>
          </w:rPr>
          <w:t>http://www.coe.int/t/dghl/standardsetting/hrpolicy/publications/hate_speech_en.pdf</w:t>
        </w:r>
      </w:hyperlink>
      <w:r w:rsidRPr="00740DA9">
        <w:rPr>
          <w:rFonts w:ascii="Times New Roman" w:hAnsi="Times New Roman" w:cs="Times New Roman"/>
        </w:rPr>
        <w:t xml:space="preserve"> </w:t>
      </w:r>
    </w:p>
  </w:footnote>
  <w:footnote w:id="23">
    <w:p w:rsidR="009962E3" w:rsidRDefault="009962E3" w:rsidP="00207403">
      <w:pPr>
        <w:pStyle w:val="FootnoteText"/>
      </w:pPr>
      <w:r w:rsidRPr="00740DA9">
        <w:rPr>
          <w:rStyle w:val="FootnoteReference"/>
          <w:rFonts w:ascii="Times New Roman" w:hAnsi="Times New Roman"/>
        </w:rPr>
        <w:footnoteRef/>
      </w:r>
      <w:r w:rsidRPr="00740DA9">
        <w:rPr>
          <w:rFonts w:ascii="Times New Roman" w:hAnsi="Times New Roman" w:cs="Times New Roman"/>
        </w:rPr>
        <w:t xml:space="preserve"> </w:t>
      </w:r>
      <w:r w:rsidRPr="00740DA9">
        <w:rPr>
          <w:rFonts w:ascii="Times New Roman" w:hAnsi="Times New Roman" w:cs="Times New Roman"/>
          <w:lang w:val="en-US"/>
        </w:rPr>
        <w:t xml:space="preserve">The main sources used  while developing the Guidelines were: the case-law </w:t>
      </w:r>
      <w:r w:rsidRPr="00740DA9">
        <w:rPr>
          <w:rFonts w:ascii="Times New Roman" w:hAnsi="Times New Roman" w:cs="Times New Roman"/>
          <w:color w:val="222222"/>
          <w:sz w:val="19"/>
          <w:szCs w:val="19"/>
          <w:shd w:val="clear" w:color="auto" w:fill="FFFFFF"/>
        </w:rPr>
        <w:t>of the European Court o</w:t>
      </w:r>
      <w:r>
        <w:rPr>
          <w:rFonts w:ascii="Times New Roman" w:hAnsi="Times New Roman" w:cs="Times New Roman"/>
          <w:color w:val="222222"/>
          <w:sz w:val="19"/>
          <w:szCs w:val="19"/>
          <w:shd w:val="clear" w:color="auto" w:fill="FFFFFF"/>
        </w:rPr>
        <w:t>f</w:t>
      </w:r>
      <w:r w:rsidRPr="00740DA9">
        <w:rPr>
          <w:rFonts w:ascii="Times New Roman" w:hAnsi="Times New Roman" w:cs="Times New Roman"/>
          <w:color w:val="222222"/>
          <w:sz w:val="19"/>
          <w:szCs w:val="19"/>
          <w:shd w:val="clear" w:color="auto" w:fill="FFFFFF"/>
        </w:rPr>
        <w:t xml:space="preserve"> Human Rights, Article 19</w:t>
      </w:r>
      <w:r>
        <w:rPr>
          <w:rFonts w:ascii="Times New Roman" w:hAnsi="Times New Roman" w:cs="Times New Roman"/>
          <w:color w:val="222222"/>
          <w:sz w:val="19"/>
          <w:szCs w:val="19"/>
          <w:shd w:val="clear" w:color="auto" w:fill="FFFFFF"/>
        </w:rPr>
        <w:t>,</w:t>
      </w:r>
      <w:r w:rsidRPr="00740DA9">
        <w:rPr>
          <w:rFonts w:ascii="Times New Roman" w:hAnsi="Times New Roman" w:cs="Times New Roman"/>
          <w:color w:val="222222"/>
          <w:sz w:val="19"/>
          <w:szCs w:val="19"/>
          <w:shd w:val="clear" w:color="auto" w:fill="FFFFFF"/>
        </w:rPr>
        <w:t xml:space="preserve"> document “Prohibiting </w:t>
      </w:r>
      <w:r>
        <w:rPr>
          <w:rFonts w:ascii="Times New Roman" w:hAnsi="Times New Roman" w:cs="Times New Roman"/>
          <w:color w:val="222222"/>
          <w:sz w:val="19"/>
          <w:szCs w:val="19"/>
          <w:shd w:val="clear" w:color="auto" w:fill="FFFFFF"/>
        </w:rPr>
        <w:t>I</w:t>
      </w:r>
      <w:r w:rsidRPr="00740DA9">
        <w:rPr>
          <w:rFonts w:ascii="Times New Roman" w:hAnsi="Times New Roman" w:cs="Times New Roman"/>
          <w:color w:val="222222"/>
          <w:sz w:val="19"/>
          <w:szCs w:val="19"/>
          <w:shd w:val="clear" w:color="auto" w:fill="FFFFFF"/>
        </w:rPr>
        <w:t>ncite</w:t>
      </w:r>
      <w:r>
        <w:rPr>
          <w:rFonts w:ascii="Times New Roman" w:hAnsi="Times New Roman" w:cs="Times New Roman"/>
          <w:color w:val="222222"/>
          <w:sz w:val="19"/>
          <w:szCs w:val="19"/>
          <w:shd w:val="clear" w:color="auto" w:fill="FFFFFF"/>
        </w:rPr>
        <w:t>ment</w:t>
      </w:r>
      <w:r w:rsidRPr="00740DA9">
        <w:rPr>
          <w:rFonts w:ascii="Times New Roman" w:hAnsi="Times New Roman" w:cs="Times New Roman"/>
          <w:color w:val="222222"/>
          <w:sz w:val="19"/>
          <w:szCs w:val="19"/>
          <w:shd w:val="clear" w:color="auto" w:fill="FFFFFF"/>
        </w:rPr>
        <w:t xml:space="preserve"> to </w:t>
      </w:r>
      <w:r>
        <w:rPr>
          <w:rFonts w:ascii="Times New Roman" w:hAnsi="Times New Roman" w:cs="Times New Roman"/>
          <w:color w:val="222222"/>
          <w:sz w:val="19"/>
          <w:szCs w:val="19"/>
          <w:shd w:val="clear" w:color="auto" w:fill="FFFFFF"/>
        </w:rPr>
        <w:t>D</w:t>
      </w:r>
      <w:r w:rsidRPr="00740DA9">
        <w:rPr>
          <w:rFonts w:ascii="Times New Roman" w:hAnsi="Times New Roman" w:cs="Times New Roman"/>
          <w:color w:val="222222"/>
          <w:sz w:val="19"/>
          <w:szCs w:val="19"/>
          <w:shd w:val="clear" w:color="auto" w:fill="FFFFFF"/>
        </w:rPr>
        <w:t xml:space="preserve">iscrimination, </w:t>
      </w:r>
      <w:r>
        <w:rPr>
          <w:rFonts w:ascii="Times New Roman" w:hAnsi="Times New Roman" w:cs="Times New Roman"/>
          <w:color w:val="222222"/>
          <w:sz w:val="19"/>
          <w:szCs w:val="19"/>
          <w:shd w:val="clear" w:color="auto" w:fill="FFFFFF"/>
        </w:rPr>
        <w:t>H</w:t>
      </w:r>
      <w:r w:rsidRPr="00740DA9">
        <w:rPr>
          <w:rFonts w:ascii="Times New Roman" w:hAnsi="Times New Roman" w:cs="Times New Roman"/>
          <w:color w:val="222222"/>
          <w:sz w:val="19"/>
          <w:szCs w:val="19"/>
          <w:shd w:val="clear" w:color="auto" w:fill="FFFFFF"/>
        </w:rPr>
        <w:t xml:space="preserve">ostility or </w:t>
      </w:r>
      <w:r>
        <w:rPr>
          <w:rFonts w:ascii="Times New Roman" w:hAnsi="Times New Roman" w:cs="Times New Roman"/>
          <w:color w:val="222222"/>
          <w:sz w:val="19"/>
          <w:szCs w:val="19"/>
          <w:shd w:val="clear" w:color="auto" w:fill="FFFFFF"/>
        </w:rPr>
        <w:t>V</w:t>
      </w:r>
      <w:r w:rsidRPr="00740DA9">
        <w:rPr>
          <w:rFonts w:ascii="Times New Roman" w:hAnsi="Times New Roman" w:cs="Times New Roman"/>
          <w:color w:val="222222"/>
          <w:sz w:val="19"/>
          <w:szCs w:val="19"/>
          <w:shd w:val="clear" w:color="auto" w:fill="FFFFFF"/>
        </w:rPr>
        <w:t xml:space="preserve">iolence” (December 2012), CoE Manual on Hate </w:t>
      </w:r>
      <w:r>
        <w:rPr>
          <w:rFonts w:ascii="Times New Roman" w:hAnsi="Times New Roman" w:cs="Times New Roman"/>
          <w:color w:val="222222"/>
          <w:sz w:val="19"/>
          <w:szCs w:val="19"/>
          <w:shd w:val="clear" w:color="auto" w:fill="FFFFFF"/>
        </w:rPr>
        <w:t>S</w:t>
      </w:r>
      <w:r w:rsidRPr="00740DA9">
        <w:rPr>
          <w:rFonts w:ascii="Times New Roman" w:hAnsi="Times New Roman" w:cs="Times New Roman"/>
          <w:color w:val="222222"/>
          <w:sz w:val="19"/>
          <w:szCs w:val="19"/>
          <w:shd w:val="clear" w:color="auto" w:fill="FFFFFF"/>
        </w:rPr>
        <w:t>peech (September 2009)</w:t>
      </w:r>
      <w:r>
        <w:rPr>
          <w:rFonts w:ascii="Times New Roman" w:hAnsi="Times New Roman" w:cs="Times New Roman"/>
          <w:color w:val="222222"/>
          <w:sz w:val="19"/>
          <w:szCs w:val="19"/>
          <w:shd w:val="clear" w:color="auto" w:fill="FFFFFF"/>
        </w:rPr>
        <w:t xml:space="preserve"> and other documents and academic articles</w:t>
      </w:r>
      <w:r w:rsidRPr="00740DA9">
        <w:rPr>
          <w:rFonts w:ascii="Times New Roman" w:hAnsi="Times New Roman" w:cs="Times New Roman"/>
          <w:color w:val="222222"/>
          <w:sz w:val="19"/>
          <w:szCs w:val="19"/>
          <w:shd w:val="clear" w:color="auto" w:fill="FFFFFF"/>
        </w:rPr>
        <w:t>.</w:t>
      </w:r>
    </w:p>
  </w:footnote>
  <w:footnote w:id="24">
    <w:p w:rsidR="009962E3" w:rsidRDefault="009962E3" w:rsidP="000C2A32">
      <w:pPr>
        <w:pStyle w:val="FootnoteText"/>
      </w:pPr>
      <w:r w:rsidRPr="000C2A32">
        <w:rPr>
          <w:rStyle w:val="FootnoteReference"/>
          <w:rFonts w:ascii="Times New Roman" w:hAnsi="Times New Roman"/>
        </w:rPr>
        <w:footnoteRef/>
      </w:r>
      <w:r w:rsidRPr="000C2A32">
        <w:rPr>
          <w:rFonts w:ascii="Times New Roman" w:hAnsi="Times New Roman" w:cs="Times New Roman"/>
        </w:rPr>
        <w:t xml:space="preserve"> </w:t>
      </w:r>
      <w:r>
        <w:rPr>
          <w:rFonts w:ascii="Times New Roman" w:hAnsi="Times New Roman" w:cs="Times New Roman"/>
          <w:lang w:val="en-US"/>
        </w:rPr>
        <w:t>For</w:t>
      </w:r>
      <w:r w:rsidRPr="000C2A32">
        <w:rPr>
          <w:rFonts w:ascii="Times New Roman" w:hAnsi="Times New Roman" w:cs="Times New Roman"/>
          <w:lang w:val="en-US"/>
        </w:rPr>
        <w:t xml:space="preserve"> more on this </w:t>
      </w:r>
      <w:r>
        <w:rPr>
          <w:rFonts w:ascii="Times New Roman" w:hAnsi="Times New Roman" w:cs="Times New Roman"/>
          <w:lang w:val="en-US"/>
        </w:rPr>
        <w:t>see</w:t>
      </w:r>
      <w:r w:rsidRPr="000C2A32">
        <w:rPr>
          <w:rFonts w:ascii="Times New Roman" w:hAnsi="Times New Roman" w:cs="Times New Roman"/>
          <w:lang w:val="en-US"/>
        </w:rPr>
        <w:t xml:space="preserve">: </w:t>
      </w:r>
      <w:r w:rsidRPr="000C2A32">
        <w:rPr>
          <w:rFonts w:ascii="Times New Roman" w:hAnsi="Times New Roman" w:cs="Times New Roman"/>
          <w:color w:val="222222"/>
          <w:shd w:val="clear" w:color="auto" w:fill="FFFFFF"/>
        </w:rPr>
        <w:t>Oetheimer, M. (2009). Protecting Freedom of Expression: The Challenge of Hate Speech in the European Court of Human Rights Case Law.</w:t>
      </w:r>
      <w:r w:rsidRPr="000C2A32">
        <w:rPr>
          <w:rStyle w:val="apple-converted-space"/>
          <w:rFonts w:ascii="Times New Roman" w:hAnsi="Times New Roman"/>
          <w:color w:val="222222"/>
          <w:shd w:val="clear" w:color="auto" w:fill="FFFFFF"/>
        </w:rPr>
        <w:t> </w:t>
      </w:r>
      <w:r w:rsidRPr="000C2A32">
        <w:rPr>
          <w:rFonts w:ascii="Times New Roman" w:hAnsi="Times New Roman" w:cs="Times New Roman"/>
          <w:i/>
          <w:iCs/>
          <w:color w:val="222222"/>
          <w:shd w:val="clear" w:color="auto" w:fill="FFFFFF"/>
        </w:rPr>
        <w:t>Cardozo J. Int'l &amp; Comp. L.</w:t>
      </w:r>
      <w:r w:rsidRPr="000C2A32">
        <w:rPr>
          <w:rFonts w:ascii="Times New Roman" w:hAnsi="Times New Roman" w:cs="Times New Roman"/>
          <w:color w:val="222222"/>
          <w:shd w:val="clear" w:color="auto" w:fill="FFFFFF"/>
        </w:rPr>
        <w:t>,</w:t>
      </w:r>
      <w:r w:rsidRPr="000C2A32">
        <w:rPr>
          <w:rStyle w:val="apple-converted-space"/>
          <w:rFonts w:ascii="Times New Roman" w:hAnsi="Times New Roman"/>
          <w:color w:val="222222"/>
          <w:shd w:val="clear" w:color="auto" w:fill="FFFFFF"/>
        </w:rPr>
        <w:t> </w:t>
      </w:r>
      <w:r w:rsidRPr="000C2A32">
        <w:rPr>
          <w:rFonts w:ascii="Times New Roman" w:hAnsi="Times New Roman" w:cs="Times New Roman"/>
          <w:i/>
          <w:iCs/>
          <w:color w:val="222222"/>
          <w:shd w:val="clear" w:color="auto" w:fill="FFFFFF"/>
        </w:rPr>
        <w:t>17</w:t>
      </w:r>
      <w:r w:rsidRPr="000C2A32">
        <w:rPr>
          <w:rFonts w:ascii="Times New Roman" w:hAnsi="Times New Roman" w:cs="Times New Roman"/>
          <w:color w:val="222222"/>
          <w:shd w:val="clear" w:color="auto" w:fill="FFFFFF"/>
        </w:rPr>
        <w:t>, 427.</w:t>
      </w:r>
    </w:p>
  </w:footnote>
  <w:footnote w:id="25">
    <w:p w:rsidR="009962E3" w:rsidRDefault="009962E3">
      <w:pPr>
        <w:pStyle w:val="FootnoteText"/>
      </w:pPr>
      <w:r w:rsidRPr="00E7199E">
        <w:rPr>
          <w:rStyle w:val="FootnoteReference"/>
          <w:rFonts w:ascii="Times New Roman" w:hAnsi="Times New Roman"/>
        </w:rPr>
        <w:footnoteRef/>
      </w:r>
      <w:r w:rsidRPr="00E7199E">
        <w:rPr>
          <w:rFonts w:ascii="Times New Roman" w:hAnsi="Times New Roman" w:cs="Times New Roman"/>
        </w:rPr>
        <w:t xml:space="preserve"> </w:t>
      </w:r>
      <w:r>
        <w:rPr>
          <w:rFonts w:ascii="Times New Roman" w:hAnsi="Times New Roman" w:cs="Times New Roman"/>
          <w:lang w:val="en-US"/>
        </w:rPr>
        <w:t>For</w:t>
      </w:r>
      <w:r w:rsidRPr="00E7199E">
        <w:rPr>
          <w:rFonts w:ascii="Times New Roman" w:hAnsi="Times New Roman" w:cs="Times New Roman"/>
          <w:lang w:val="en-US"/>
        </w:rPr>
        <w:t xml:space="preserve"> more details</w:t>
      </w:r>
      <w:r>
        <w:rPr>
          <w:rFonts w:ascii="Times New Roman" w:hAnsi="Times New Roman" w:cs="Times New Roman"/>
          <w:lang w:val="en-US"/>
        </w:rPr>
        <w:t>, see</w:t>
      </w:r>
      <w:r w:rsidRPr="00E7199E">
        <w:rPr>
          <w:rFonts w:ascii="Times New Roman" w:hAnsi="Times New Roman" w:cs="Times New Roman"/>
          <w:lang w:val="en-US"/>
        </w:rPr>
        <w:t xml:space="preserve">: </w:t>
      </w:r>
      <w:r w:rsidRPr="00E7199E">
        <w:rPr>
          <w:rFonts w:ascii="Times New Roman" w:hAnsi="Times New Roman" w:cs="Times New Roman"/>
          <w:color w:val="222222"/>
          <w:sz w:val="19"/>
          <w:szCs w:val="19"/>
          <w:shd w:val="clear" w:color="auto" w:fill="FFFFFF"/>
        </w:rPr>
        <w:t xml:space="preserve">“Prohibiting </w:t>
      </w:r>
      <w:r>
        <w:rPr>
          <w:rFonts w:ascii="Times New Roman" w:hAnsi="Times New Roman" w:cs="Times New Roman"/>
          <w:color w:val="222222"/>
          <w:sz w:val="19"/>
          <w:szCs w:val="19"/>
          <w:shd w:val="clear" w:color="auto" w:fill="FFFFFF"/>
        </w:rPr>
        <w:t>I</w:t>
      </w:r>
      <w:r w:rsidRPr="00E7199E">
        <w:rPr>
          <w:rFonts w:ascii="Times New Roman" w:hAnsi="Times New Roman" w:cs="Times New Roman"/>
          <w:color w:val="222222"/>
          <w:sz w:val="19"/>
          <w:szCs w:val="19"/>
          <w:shd w:val="clear" w:color="auto" w:fill="FFFFFF"/>
        </w:rPr>
        <w:t>ncite</w:t>
      </w:r>
      <w:r>
        <w:rPr>
          <w:rFonts w:ascii="Times New Roman" w:hAnsi="Times New Roman" w:cs="Times New Roman"/>
          <w:color w:val="222222"/>
          <w:sz w:val="19"/>
          <w:szCs w:val="19"/>
          <w:shd w:val="clear" w:color="auto" w:fill="FFFFFF"/>
        </w:rPr>
        <w:t>ment</w:t>
      </w:r>
      <w:r w:rsidRPr="00E7199E">
        <w:rPr>
          <w:rFonts w:ascii="Times New Roman" w:hAnsi="Times New Roman" w:cs="Times New Roman"/>
          <w:color w:val="222222"/>
          <w:sz w:val="19"/>
          <w:szCs w:val="19"/>
          <w:shd w:val="clear" w:color="auto" w:fill="FFFFFF"/>
        </w:rPr>
        <w:t xml:space="preserve"> to </w:t>
      </w:r>
      <w:r>
        <w:rPr>
          <w:rFonts w:ascii="Times New Roman" w:hAnsi="Times New Roman" w:cs="Times New Roman"/>
          <w:color w:val="222222"/>
          <w:sz w:val="19"/>
          <w:szCs w:val="19"/>
          <w:shd w:val="clear" w:color="auto" w:fill="FFFFFF"/>
        </w:rPr>
        <w:t>D</w:t>
      </w:r>
      <w:r w:rsidRPr="00E7199E">
        <w:rPr>
          <w:rFonts w:ascii="Times New Roman" w:hAnsi="Times New Roman" w:cs="Times New Roman"/>
          <w:color w:val="222222"/>
          <w:sz w:val="19"/>
          <w:szCs w:val="19"/>
          <w:shd w:val="clear" w:color="auto" w:fill="FFFFFF"/>
        </w:rPr>
        <w:t xml:space="preserve">iscrimination, </w:t>
      </w:r>
      <w:r>
        <w:rPr>
          <w:rFonts w:ascii="Times New Roman" w:hAnsi="Times New Roman" w:cs="Times New Roman"/>
          <w:color w:val="222222"/>
          <w:sz w:val="19"/>
          <w:szCs w:val="19"/>
          <w:shd w:val="clear" w:color="auto" w:fill="FFFFFF"/>
        </w:rPr>
        <w:t>H</w:t>
      </w:r>
      <w:r w:rsidRPr="00E7199E">
        <w:rPr>
          <w:rFonts w:ascii="Times New Roman" w:hAnsi="Times New Roman" w:cs="Times New Roman"/>
          <w:color w:val="222222"/>
          <w:sz w:val="19"/>
          <w:szCs w:val="19"/>
          <w:shd w:val="clear" w:color="auto" w:fill="FFFFFF"/>
        </w:rPr>
        <w:t xml:space="preserve">ostility or </w:t>
      </w:r>
      <w:r>
        <w:rPr>
          <w:rFonts w:ascii="Times New Roman" w:hAnsi="Times New Roman" w:cs="Times New Roman"/>
          <w:color w:val="222222"/>
          <w:sz w:val="19"/>
          <w:szCs w:val="19"/>
          <w:shd w:val="clear" w:color="auto" w:fill="FFFFFF"/>
        </w:rPr>
        <w:t>V</w:t>
      </w:r>
      <w:r w:rsidRPr="00E7199E">
        <w:rPr>
          <w:rFonts w:ascii="Times New Roman" w:hAnsi="Times New Roman" w:cs="Times New Roman"/>
          <w:color w:val="222222"/>
          <w:sz w:val="19"/>
          <w:szCs w:val="19"/>
          <w:shd w:val="clear" w:color="auto" w:fill="FFFFFF"/>
        </w:rPr>
        <w:t>iolence” Article 19, December 2012.</w:t>
      </w:r>
      <w:r>
        <w:rPr>
          <w:rFonts w:ascii="Times New Roman" w:hAnsi="Times New Roman" w:cs="Times New Roman"/>
          <w:color w:val="222222"/>
          <w:sz w:val="19"/>
          <w:szCs w:val="19"/>
          <w:shd w:val="clear" w:color="auto" w:fill="FFFFFF"/>
        </w:rPr>
        <w:t xml:space="preserve"> Available at: </w:t>
      </w:r>
      <w:hyperlink r:id="rId11" w:history="1">
        <w:r w:rsidRPr="005D45EA">
          <w:rPr>
            <w:rStyle w:val="Hyperlink"/>
            <w:rFonts w:ascii="Times New Roman" w:hAnsi="Times New Roman"/>
            <w:sz w:val="19"/>
            <w:szCs w:val="19"/>
            <w:shd w:val="clear" w:color="auto" w:fill="FFFFFF"/>
          </w:rPr>
          <w:t>http://www.article19.org/data/files/medialibrary/3548/ARTICLE-19-policy-on-prohibition-to-incitement.pdf</w:t>
        </w:r>
      </w:hyperlink>
      <w:r>
        <w:rPr>
          <w:rFonts w:ascii="Times New Roman" w:hAnsi="Times New Roman" w:cs="Times New Roman"/>
          <w:color w:val="222222"/>
          <w:sz w:val="19"/>
          <w:szCs w:val="19"/>
          <w:shd w:val="clear" w:color="auto" w:fill="FFFFFF"/>
        </w:rPr>
        <w:t xml:space="preserve"> </w:t>
      </w:r>
    </w:p>
  </w:footnote>
  <w:footnote w:id="26">
    <w:p w:rsidR="009962E3" w:rsidRDefault="009962E3">
      <w:pPr>
        <w:pStyle w:val="FootnoteText"/>
      </w:pPr>
      <w:r w:rsidRPr="00555F00">
        <w:rPr>
          <w:rStyle w:val="FootnoteReference"/>
          <w:rFonts w:ascii="Times New Roman" w:hAnsi="Times New Roman"/>
        </w:rPr>
        <w:footnoteRef/>
      </w:r>
      <w:r w:rsidRPr="00555F00">
        <w:rPr>
          <w:rFonts w:ascii="Times New Roman" w:hAnsi="Times New Roman" w:cs="Times New Roman"/>
        </w:rPr>
        <w:t xml:space="preserve"> </w:t>
      </w:r>
      <w:r w:rsidRPr="00555F00">
        <w:rPr>
          <w:rFonts w:ascii="Times New Roman" w:hAnsi="Times New Roman" w:cs="Times New Roman"/>
          <w:lang w:val="en-US"/>
        </w:rPr>
        <w:t xml:space="preserve">These are the criteria suggested by Article 19 in the document </w:t>
      </w:r>
      <w:r w:rsidRPr="00555F00">
        <w:rPr>
          <w:rFonts w:ascii="Times New Roman" w:hAnsi="Times New Roman" w:cs="Times New Roman"/>
          <w:color w:val="222222"/>
          <w:sz w:val="19"/>
          <w:szCs w:val="19"/>
          <w:shd w:val="clear" w:color="auto" w:fill="FFFFFF"/>
        </w:rPr>
        <w:t xml:space="preserve">“Prohibiting </w:t>
      </w:r>
      <w:r>
        <w:rPr>
          <w:rFonts w:ascii="Times New Roman" w:hAnsi="Times New Roman" w:cs="Times New Roman"/>
          <w:color w:val="222222"/>
          <w:sz w:val="19"/>
          <w:szCs w:val="19"/>
          <w:shd w:val="clear" w:color="auto" w:fill="FFFFFF"/>
        </w:rPr>
        <w:t>I</w:t>
      </w:r>
      <w:r w:rsidRPr="00555F00">
        <w:rPr>
          <w:rFonts w:ascii="Times New Roman" w:hAnsi="Times New Roman" w:cs="Times New Roman"/>
          <w:color w:val="222222"/>
          <w:sz w:val="19"/>
          <w:szCs w:val="19"/>
          <w:shd w:val="clear" w:color="auto" w:fill="FFFFFF"/>
        </w:rPr>
        <w:t>ncite</w:t>
      </w:r>
      <w:r>
        <w:rPr>
          <w:rFonts w:ascii="Times New Roman" w:hAnsi="Times New Roman" w:cs="Times New Roman"/>
          <w:color w:val="222222"/>
          <w:sz w:val="19"/>
          <w:szCs w:val="19"/>
          <w:shd w:val="clear" w:color="auto" w:fill="FFFFFF"/>
        </w:rPr>
        <w:t xml:space="preserve">ment </w:t>
      </w:r>
      <w:r w:rsidRPr="00555F00">
        <w:rPr>
          <w:rFonts w:ascii="Times New Roman" w:hAnsi="Times New Roman" w:cs="Times New Roman"/>
          <w:color w:val="222222"/>
          <w:sz w:val="19"/>
          <w:szCs w:val="19"/>
          <w:shd w:val="clear" w:color="auto" w:fill="FFFFFF"/>
        </w:rPr>
        <w:t xml:space="preserve"> to </w:t>
      </w:r>
      <w:r>
        <w:rPr>
          <w:rFonts w:ascii="Times New Roman" w:hAnsi="Times New Roman" w:cs="Times New Roman"/>
          <w:color w:val="222222"/>
          <w:sz w:val="19"/>
          <w:szCs w:val="19"/>
          <w:shd w:val="clear" w:color="auto" w:fill="FFFFFF"/>
        </w:rPr>
        <w:t>D</w:t>
      </w:r>
      <w:r w:rsidRPr="00555F00">
        <w:rPr>
          <w:rFonts w:ascii="Times New Roman" w:hAnsi="Times New Roman" w:cs="Times New Roman"/>
          <w:color w:val="222222"/>
          <w:sz w:val="19"/>
          <w:szCs w:val="19"/>
          <w:shd w:val="clear" w:color="auto" w:fill="FFFFFF"/>
        </w:rPr>
        <w:t xml:space="preserve">iscrimination, </w:t>
      </w:r>
      <w:r>
        <w:rPr>
          <w:rFonts w:ascii="Times New Roman" w:hAnsi="Times New Roman" w:cs="Times New Roman"/>
          <w:color w:val="222222"/>
          <w:sz w:val="19"/>
          <w:szCs w:val="19"/>
          <w:shd w:val="clear" w:color="auto" w:fill="FFFFFF"/>
        </w:rPr>
        <w:t>H</w:t>
      </w:r>
      <w:r w:rsidRPr="00555F00">
        <w:rPr>
          <w:rFonts w:ascii="Times New Roman" w:hAnsi="Times New Roman" w:cs="Times New Roman"/>
          <w:color w:val="222222"/>
          <w:sz w:val="19"/>
          <w:szCs w:val="19"/>
          <w:shd w:val="clear" w:color="auto" w:fill="FFFFFF"/>
        </w:rPr>
        <w:t xml:space="preserve">ostility or </w:t>
      </w:r>
      <w:r>
        <w:rPr>
          <w:rFonts w:ascii="Times New Roman" w:hAnsi="Times New Roman" w:cs="Times New Roman"/>
          <w:color w:val="222222"/>
          <w:sz w:val="19"/>
          <w:szCs w:val="19"/>
          <w:shd w:val="clear" w:color="auto" w:fill="FFFFFF"/>
        </w:rPr>
        <w:t>V</w:t>
      </w:r>
      <w:r w:rsidRPr="00555F00">
        <w:rPr>
          <w:rFonts w:ascii="Times New Roman" w:hAnsi="Times New Roman" w:cs="Times New Roman"/>
          <w:color w:val="222222"/>
          <w:sz w:val="19"/>
          <w:szCs w:val="19"/>
          <w:shd w:val="clear" w:color="auto" w:fill="FFFFFF"/>
        </w:rPr>
        <w:t>iolence” (December 2012).</w:t>
      </w:r>
    </w:p>
  </w:footnote>
  <w:footnote w:id="27">
    <w:p w:rsidR="009962E3" w:rsidRDefault="009962E3" w:rsidP="007F0901">
      <w:pPr>
        <w:pStyle w:val="FootnoteText"/>
      </w:pPr>
      <w:r w:rsidRPr="00217F89">
        <w:rPr>
          <w:rStyle w:val="FootnoteReference"/>
          <w:rFonts w:ascii="Bookman Old Style" w:hAnsi="Bookman Old Style" w:cs="Calibri"/>
        </w:rPr>
        <w:footnoteRef/>
      </w:r>
      <w:r w:rsidRPr="00217F89">
        <w:rPr>
          <w:rFonts w:ascii="Bookman Old Style" w:hAnsi="Bookman Old Style"/>
        </w:rPr>
        <w:t xml:space="preserve"> </w:t>
      </w:r>
      <w:r>
        <w:rPr>
          <w:rFonts w:ascii="Bookman Old Style" w:hAnsi="Bookman Old Style"/>
        </w:rPr>
        <w:t xml:space="preserve">EPRA </w:t>
      </w:r>
      <w:r w:rsidRPr="00217F89">
        <w:rPr>
          <w:rFonts w:ascii="Bookman Old Style" w:hAnsi="Bookman Old Style"/>
          <w:lang w:val="en-US"/>
        </w:rPr>
        <w:t xml:space="preserve">Draft Background Paper: Summary of the </w:t>
      </w:r>
      <w:r>
        <w:rPr>
          <w:rFonts w:ascii="Bookman Old Style" w:hAnsi="Bookman Old Style"/>
          <w:lang w:val="en-US"/>
        </w:rPr>
        <w:t>A</w:t>
      </w:r>
      <w:r w:rsidRPr="00217F89">
        <w:rPr>
          <w:rFonts w:ascii="Bookman Old Style" w:hAnsi="Bookman Old Style"/>
          <w:lang w:val="en-US"/>
        </w:rPr>
        <w:t xml:space="preserve">nswers to the Hate </w:t>
      </w:r>
      <w:r>
        <w:rPr>
          <w:rFonts w:ascii="Bookman Old Style" w:hAnsi="Bookman Old Style"/>
          <w:lang w:val="en-US"/>
        </w:rPr>
        <w:t>S</w:t>
      </w:r>
      <w:r w:rsidRPr="00217F89">
        <w:rPr>
          <w:rFonts w:ascii="Bookman Old Style" w:hAnsi="Bookman Old Style"/>
          <w:lang w:val="en-US"/>
        </w:rPr>
        <w:t xml:space="preserve">peech Questionnaire, presented </w:t>
      </w:r>
      <w:r>
        <w:rPr>
          <w:rFonts w:ascii="Bookman Old Style" w:hAnsi="Bookman Old Style"/>
          <w:lang w:val="en-US"/>
        </w:rPr>
        <w:t>at</w:t>
      </w:r>
      <w:r w:rsidRPr="00217F89">
        <w:rPr>
          <w:rFonts w:ascii="Bookman Old Style" w:hAnsi="Bookman Old Style"/>
          <w:lang w:val="en-US"/>
        </w:rPr>
        <w:t xml:space="preserve"> the Plenary Session 2</w:t>
      </w:r>
      <w:r>
        <w:rPr>
          <w:rFonts w:ascii="Bookman Old Style" w:hAnsi="Bookman Old Style"/>
          <w:lang w:val="en-US"/>
        </w:rPr>
        <w:t>:</w:t>
      </w:r>
      <w:r w:rsidRPr="00217F89">
        <w:rPr>
          <w:rFonts w:ascii="Bookman Old Style" w:hAnsi="Bookman Old Style"/>
          <w:lang w:val="en-US"/>
        </w:rPr>
        <w:t xml:space="preserve"> Hate Speech – Old Enemy, New Battles</w:t>
      </w:r>
      <w:r>
        <w:rPr>
          <w:rFonts w:ascii="Bookman Old Style" w:hAnsi="Bookman Old Style"/>
          <w:lang w:val="en-US"/>
        </w:rPr>
        <w:t>, 39</w:t>
      </w:r>
      <w:r w:rsidRPr="00FF4EA0">
        <w:rPr>
          <w:rFonts w:ascii="Bookman Old Style" w:hAnsi="Bookman Old Style"/>
          <w:vertAlign w:val="superscript"/>
          <w:lang w:val="en-US"/>
        </w:rPr>
        <w:t>th</w:t>
      </w:r>
      <w:r>
        <w:rPr>
          <w:rFonts w:ascii="Bookman Old Style" w:hAnsi="Bookman Old Style"/>
          <w:lang w:val="en-US"/>
        </w:rPr>
        <w:t xml:space="preserve"> EPRA meeting, Budva 4-6 June 2014. </w:t>
      </w:r>
      <w:r w:rsidRPr="00217F89">
        <w:rPr>
          <w:rFonts w:ascii="Bookman Old Style" w:hAnsi="Bookman Old Style"/>
          <w:lang w:val="en-US"/>
        </w:rPr>
        <w:t xml:space="preserve"> </w:t>
      </w:r>
    </w:p>
  </w:footnote>
  <w:footnote w:id="28">
    <w:p w:rsidR="009962E3" w:rsidRDefault="009962E3" w:rsidP="007F0901">
      <w:pPr>
        <w:pStyle w:val="FootnoteText"/>
      </w:pPr>
      <w:r>
        <w:rPr>
          <w:rStyle w:val="FootnoteReference"/>
          <w:rFonts w:cs="Calibri"/>
        </w:rPr>
        <w:footnoteRef/>
      </w:r>
      <w:r>
        <w:t xml:space="preserve"> In t</w:t>
      </w:r>
      <w:r>
        <w:rPr>
          <w:lang w:val="en-US"/>
        </w:rPr>
        <w:t xml:space="preserve">he EPRA Analysis, it is stated that 19 regulators reported existence of various cases of hate speech. </w:t>
      </w:r>
    </w:p>
  </w:footnote>
  <w:footnote w:id="29">
    <w:p w:rsidR="009962E3" w:rsidRDefault="009962E3" w:rsidP="007F0901">
      <w:pPr>
        <w:pStyle w:val="FootnoteText"/>
      </w:pPr>
      <w:r w:rsidRPr="0053002B">
        <w:rPr>
          <w:rStyle w:val="FootnoteReference"/>
          <w:rFonts w:ascii="Bookman Old Style" w:hAnsi="Bookman Old Style" w:cs="Calibri"/>
        </w:rPr>
        <w:footnoteRef/>
      </w:r>
      <w:r w:rsidRPr="0053002B">
        <w:rPr>
          <w:rFonts w:ascii="Bookman Old Style" w:hAnsi="Bookman Old Style"/>
        </w:rPr>
        <w:t xml:space="preserve"> The legal system of </w:t>
      </w:r>
      <w:r w:rsidRPr="0053002B">
        <w:rPr>
          <w:rStyle w:val="FontStyle38"/>
          <w:rFonts w:ascii="Bookman Old Style" w:hAnsi="Bookman Old Style" w:cs="Arial"/>
          <w:szCs w:val="18"/>
        </w:rPr>
        <w:t>Northern Ireland is not subject of this overview. Although it is administered by representatives of the central government under the direction of the executive</w:t>
      </w:r>
      <w:r>
        <w:rPr>
          <w:rStyle w:val="FontStyle38"/>
          <w:rFonts w:ascii="Bookman Old Style" w:hAnsi="Bookman Old Style" w:cs="Arial"/>
          <w:szCs w:val="18"/>
        </w:rPr>
        <w:t xml:space="preserve"> government</w:t>
      </w:r>
      <w:r w:rsidRPr="0053002B">
        <w:rPr>
          <w:rStyle w:val="FontStyle38"/>
          <w:rFonts w:ascii="Bookman Old Style" w:hAnsi="Bookman Old Style" w:cs="Arial"/>
          <w:szCs w:val="18"/>
        </w:rPr>
        <w:t xml:space="preserve"> and legislature in London, it exists separately from Great Britain.</w:t>
      </w:r>
    </w:p>
  </w:footnote>
  <w:footnote w:id="30">
    <w:p w:rsidR="009962E3" w:rsidRDefault="009962E3" w:rsidP="007F0901">
      <w:pPr>
        <w:pStyle w:val="FootnoteText"/>
      </w:pPr>
      <w:r w:rsidRPr="00586E7F">
        <w:rPr>
          <w:rStyle w:val="FootnoteReference"/>
          <w:rFonts w:ascii="Bookman Old Style" w:hAnsi="Bookman Old Style" w:cs="Calibri"/>
          <w:sz w:val="18"/>
          <w:szCs w:val="18"/>
        </w:rPr>
        <w:footnoteRef/>
      </w:r>
      <w:r w:rsidRPr="00586E7F">
        <w:rPr>
          <w:rFonts w:ascii="Bookman Old Style" w:hAnsi="Bookman Old Style"/>
          <w:sz w:val="18"/>
          <w:szCs w:val="18"/>
        </w:rPr>
        <w:t xml:space="preserve"> </w:t>
      </w:r>
      <w:r w:rsidRPr="00586E7F">
        <w:rPr>
          <w:rFonts w:ascii="Bookman Old Style" w:hAnsi="Bookman Old Style"/>
          <w:sz w:val="18"/>
          <w:szCs w:val="18"/>
          <w:lang w:val="en-US"/>
        </w:rPr>
        <w:t>Available at:</w:t>
      </w:r>
      <w:r w:rsidRPr="00586E7F">
        <w:rPr>
          <w:rFonts w:ascii="Bookman Old Style" w:hAnsi="Bookman Old Style"/>
          <w:sz w:val="18"/>
          <w:szCs w:val="18"/>
        </w:rPr>
        <w:t xml:space="preserve"> </w:t>
      </w:r>
      <w:hyperlink r:id="rId12" w:history="1">
        <w:r w:rsidRPr="00586E7F">
          <w:rPr>
            <w:rStyle w:val="Hyperlink"/>
            <w:rFonts w:ascii="Bookman Old Style" w:hAnsi="Bookman Old Style" w:cs="Calibri"/>
            <w:sz w:val="18"/>
            <w:szCs w:val="18"/>
          </w:rPr>
          <w:t>http://stakeholders.ofcom.org.uk/broadcasting/broadcast-codes/broadcast-code/</w:t>
        </w:r>
      </w:hyperlink>
      <w:r>
        <w:rPr>
          <w:rFonts w:ascii="Bookman Old Style" w:hAnsi="Bookman Old Style"/>
          <w:sz w:val="18"/>
          <w:szCs w:val="18"/>
          <w:lang w:val="en-US"/>
        </w:rPr>
        <w:t>, Accessed on September 10</w:t>
      </w:r>
      <w:r w:rsidRPr="00FC0397">
        <w:rPr>
          <w:rFonts w:ascii="Bookman Old Style" w:hAnsi="Bookman Old Style"/>
          <w:sz w:val="18"/>
          <w:szCs w:val="18"/>
          <w:vertAlign w:val="superscript"/>
          <w:lang w:val="en-US"/>
        </w:rPr>
        <w:t>th</w:t>
      </w:r>
      <w:r>
        <w:rPr>
          <w:rFonts w:ascii="Bookman Old Style" w:hAnsi="Bookman Old Style"/>
          <w:sz w:val="18"/>
          <w:szCs w:val="18"/>
          <w:lang w:val="en-US"/>
        </w:rPr>
        <w:t xml:space="preserve"> 2014.</w:t>
      </w:r>
      <w:r w:rsidRPr="00586E7F">
        <w:rPr>
          <w:rFonts w:ascii="Bookman Old Style" w:hAnsi="Bookman Old Style"/>
          <w:sz w:val="18"/>
          <w:szCs w:val="18"/>
          <w:lang w:val="en-US"/>
        </w:rPr>
        <w:t xml:space="preserve"> </w:t>
      </w:r>
    </w:p>
  </w:footnote>
  <w:footnote w:id="31">
    <w:p w:rsidR="009962E3" w:rsidRDefault="009962E3" w:rsidP="007F0901">
      <w:pPr>
        <w:pStyle w:val="FootnoteText"/>
      </w:pPr>
      <w:r w:rsidRPr="00FC0397">
        <w:rPr>
          <w:rStyle w:val="FootnoteReference"/>
          <w:rFonts w:ascii="Bookman Old Style" w:hAnsi="Bookman Old Style" w:cs="Calibri"/>
          <w:sz w:val="18"/>
          <w:szCs w:val="18"/>
        </w:rPr>
        <w:footnoteRef/>
      </w:r>
      <w:r w:rsidRPr="00FC0397">
        <w:rPr>
          <w:rFonts w:ascii="Bookman Old Style" w:hAnsi="Bookman Old Style"/>
          <w:sz w:val="18"/>
          <w:szCs w:val="18"/>
        </w:rPr>
        <w:t xml:space="preserve"> </w:t>
      </w:r>
      <w:r w:rsidRPr="00FC0397">
        <w:rPr>
          <w:rFonts w:ascii="Bookman Old Style" w:hAnsi="Bookman Old Style"/>
          <w:sz w:val="18"/>
          <w:szCs w:val="18"/>
          <w:lang w:val="en-US"/>
        </w:rPr>
        <w:t xml:space="preserve">Available at: </w:t>
      </w:r>
      <w:hyperlink r:id="rId13" w:history="1">
        <w:r w:rsidRPr="00FC0397">
          <w:rPr>
            <w:rStyle w:val="Hyperlink"/>
            <w:rFonts w:ascii="Bookman Old Style" w:hAnsi="Bookman Old Style" w:cs="Calibri"/>
            <w:sz w:val="18"/>
            <w:szCs w:val="18"/>
          </w:rPr>
          <w:t>http://stakeholders.ofcom.org.uk/binaries/broadcast/guidance/831193/section3.pdf</w:t>
        </w:r>
      </w:hyperlink>
      <w:r>
        <w:rPr>
          <w:rFonts w:ascii="Bookman Old Style" w:hAnsi="Bookman Old Style"/>
          <w:sz w:val="18"/>
          <w:szCs w:val="18"/>
          <w:lang w:val="en-US"/>
        </w:rPr>
        <w:t>, Accessed on September 10</w:t>
      </w:r>
      <w:r w:rsidRPr="00FC0397">
        <w:rPr>
          <w:rFonts w:ascii="Bookman Old Style" w:hAnsi="Bookman Old Style"/>
          <w:sz w:val="18"/>
          <w:szCs w:val="18"/>
          <w:vertAlign w:val="superscript"/>
          <w:lang w:val="en-US"/>
        </w:rPr>
        <w:t>th</w:t>
      </w:r>
      <w:r>
        <w:rPr>
          <w:rFonts w:ascii="Bookman Old Style" w:hAnsi="Bookman Old Style"/>
          <w:sz w:val="18"/>
          <w:szCs w:val="18"/>
          <w:lang w:val="en-US"/>
        </w:rPr>
        <w:t xml:space="preserve"> 2014.</w:t>
      </w:r>
      <w:r w:rsidRPr="00586E7F">
        <w:rPr>
          <w:rFonts w:ascii="Bookman Old Style" w:hAnsi="Bookman Old Style"/>
          <w:sz w:val="18"/>
          <w:szCs w:val="18"/>
          <w:lang w:val="en-US"/>
        </w:rPr>
        <w:t xml:space="preserve"> </w:t>
      </w:r>
      <w:r w:rsidRPr="00FC0397">
        <w:rPr>
          <w:rFonts w:ascii="Bookman Old Style" w:hAnsi="Bookman Old Style"/>
          <w:sz w:val="18"/>
          <w:szCs w:val="18"/>
          <w:lang w:val="en-US"/>
        </w:rPr>
        <w:t xml:space="preserve"> </w:t>
      </w:r>
    </w:p>
  </w:footnote>
  <w:footnote w:id="32">
    <w:p w:rsidR="009962E3" w:rsidRDefault="009962E3" w:rsidP="007F0901">
      <w:pPr>
        <w:pStyle w:val="FootnoteText"/>
      </w:pPr>
      <w:r w:rsidRPr="00FC0397">
        <w:rPr>
          <w:rStyle w:val="FootnoteReference"/>
          <w:rFonts w:ascii="Bookman Old Style" w:hAnsi="Bookman Old Style" w:cs="Calibri"/>
          <w:sz w:val="18"/>
          <w:szCs w:val="18"/>
        </w:rPr>
        <w:footnoteRef/>
      </w:r>
      <w:r w:rsidRPr="00FC0397">
        <w:rPr>
          <w:rFonts w:ascii="Bookman Old Style" w:hAnsi="Bookman Old Style"/>
          <w:sz w:val="18"/>
          <w:szCs w:val="18"/>
        </w:rPr>
        <w:t xml:space="preserve"> </w:t>
      </w:r>
      <w:r w:rsidRPr="00FC0397">
        <w:rPr>
          <w:rFonts w:ascii="Bookman Old Style" w:hAnsi="Bookman Old Style"/>
          <w:sz w:val="18"/>
          <w:szCs w:val="18"/>
          <w:lang w:val="en-US"/>
        </w:rPr>
        <w:t xml:space="preserve">Available at: </w:t>
      </w:r>
      <w:hyperlink r:id="rId14" w:history="1">
        <w:r w:rsidRPr="00FC0397">
          <w:rPr>
            <w:rStyle w:val="Hyperlink"/>
            <w:rFonts w:ascii="Bookman Old Style" w:hAnsi="Bookman Old Style" w:cs="Calibri"/>
            <w:sz w:val="18"/>
            <w:szCs w:val="18"/>
          </w:rPr>
          <w:t>http://stakeholders.ofcom.org.uk/broadcasting/guidance/complaints-sanctions/standards/</w:t>
        </w:r>
      </w:hyperlink>
      <w:r w:rsidRPr="00FC0397">
        <w:rPr>
          <w:rFonts w:ascii="Bookman Old Style" w:hAnsi="Bookman Old Style"/>
          <w:sz w:val="18"/>
          <w:szCs w:val="18"/>
          <w:lang w:val="en-US"/>
        </w:rPr>
        <w:t>, Accessed on September 10</w:t>
      </w:r>
      <w:r w:rsidRPr="00FC0397">
        <w:rPr>
          <w:rFonts w:ascii="Bookman Old Style" w:hAnsi="Bookman Old Style"/>
          <w:sz w:val="18"/>
          <w:szCs w:val="18"/>
          <w:vertAlign w:val="superscript"/>
          <w:lang w:val="en-US"/>
        </w:rPr>
        <w:t>th</w:t>
      </w:r>
      <w:r w:rsidRPr="00FC0397">
        <w:rPr>
          <w:rFonts w:ascii="Bookman Old Style" w:hAnsi="Bookman Old Style"/>
          <w:sz w:val="18"/>
          <w:szCs w:val="18"/>
          <w:lang w:val="en-US"/>
        </w:rPr>
        <w:t xml:space="preserve"> 2014. </w:t>
      </w:r>
    </w:p>
  </w:footnote>
  <w:footnote w:id="33">
    <w:p w:rsidR="009962E3" w:rsidRDefault="009962E3" w:rsidP="007F0901">
      <w:pPr>
        <w:pStyle w:val="Style10"/>
        <w:widowControl/>
        <w:spacing w:before="14" w:line="276" w:lineRule="auto"/>
      </w:pPr>
      <w:r w:rsidRPr="00787481">
        <w:rPr>
          <w:rStyle w:val="FootnoteReference"/>
          <w:rFonts w:ascii="Bookman Old Style" w:hAnsi="Bookman Old Style"/>
          <w:sz w:val="20"/>
          <w:szCs w:val="20"/>
        </w:rPr>
        <w:footnoteRef/>
      </w:r>
      <w:r w:rsidRPr="00787481">
        <w:rPr>
          <w:rFonts w:ascii="Bookman Old Style" w:hAnsi="Bookman Old Style"/>
          <w:sz w:val="20"/>
          <w:szCs w:val="20"/>
        </w:rPr>
        <w:t xml:space="preserve"> </w:t>
      </w:r>
      <w:r w:rsidRPr="00787481">
        <w:rPr>
          <w:rStyle w:val="FontStyle32"/>
          <w:rFonts w:ascii="Bookman Old Style" w:hAnsi="Bookman Old Style" w:cs="Arial"/>
          <w:szCs w:val="20"/>
        </w:rPr>
        <w:t>Article 15 provides that: “...program</w:t>
      </w:r>
      <w:r>
        <w:rPr>
          <w:rStyle w:val="FontStyle32"/>
          <w:rFonts w:ascii="Bookman Old Style" w:hAnsi="Bookman Old Style" w:cs="Arial"/>
          <w:szCs w:val="20"/>
        </w:rPr>
        <w:t>me</w:t>
      </w:r>
      <w:r w:rsidRPr="00787481">
        <w:rPr>
          <w:rStyle w:val="FontStyle32"/>
          <w:rFonts w:ascii="Bookman Old Style" w:hAnsi="Bookman Old Style" w:cs="Arial"/>
          <w:szCs w:val="20"/>
        </w:rPr>
        <w:t xml:space="preserve">s made </w:t>
      </w:r>
      <w:r w:rsidRPr="00787481">
        <w:rPr>
          <w:rStyle w:val="FontStyle32"/>
          <w:rFonts w:ascii="Cambria Math" w:hAnsi="Cambria Math" w:cs="Cambria Math"/>
          <w:szCs w:val="20"/>
        </w:rPr>
        <w:t>​​</w:t>
      </w:r>
      <w:r w:rsidRPr="00787481">
        <w:rPr>
          <w:rStyle w:val="FontStyle32"/>
          <w:rFonts w:ascii="Bookman Old Style" w:hAnsi="Bookman Old Style" w:cs="Arial"/>
          <w:szCs w:val="20"/>
        </w:rPr>
        <w:t xml:space="preserve">available to the public through an audiovisual communication service must not contain any incitement to hatred or violence for reasons of race, sex, morality, religion or nationality.” </w:t>
      </w:r>
      <w:r w:rsidRPr="00787481">
        <w:rPr>
          <w:rFonts w:ascii="Bookman Old Style" w:hAnsi="Bookman Old Style"/>
          <w:sz w:val="20"/>
          <w:szCs w:val="20"/>
        </w:rPr>
        <w:t xml:space="preserve">Available at: </w:t>
      </w:r>
      <w:hyperlink r:id="rId15" w:history="1">
        <w:r w:rsidRPr="00787481">
          <w:rPr>
            <w:rStyle w:val="Hyperlink"/>
            <w:rFonts w:ascii="Bookman Old Style" w:hAnsi="Bookman Old Style"/>
            <w:sz w:val="20"/>
            <w:szCs w:val="20"/>
          </w:rPr>
          <w:t>http://legifrance.gouv.fr/affichTexte.do?cidTexte=JORFTEXT000000512205&amp;fastPos=1&amp;fastReqId=78965485&amp;categorieLien=cid&amp;oldAction=rechTexte</w:t>
        </w:r>
      </w:hyperlink>
      <w:r w:rsidRPr="00787481">
        <w:rPr>
          <w:rFonts w:ascii="Bookman Old Style" w:hAnsi="Bookman Old Style"/>
          <w:sz w:val="20"/>
          <w:szCs w:val="20"/>
        </w:rPr>
        <w:t xml:space="preserve"> </w:t>
      </w:r>
    </w:p>
  </w:footnote>
  <w:footnote w:id="34">
    <w:p w:rsidR="009962E3" w:rsidRDefault="009962E3" w:rsidP="007F0901">
      <w:pPr>
        <w:pStyle w:val="FootnoteText"/>
      </w:pPr>
      <w:r>
        <w:rPr>
          <w:rStyle w:val="FootnoteReference"/>
          <w:rFonts w:cs="Calibri"/>
        </w:rPr>
        <w:footnoteRef/>
      </w:r>
      <w:r w:rsidRPr="007F0901">
        <w:rPr>
          <w:lang w:val="fr-FR"/>
        </w:rPr>
        <w:t xml:space="preserve"> Available at: </w:t>
      </w:r>
      <w:hyperlink r:id="rId16" w:history="1">
        <w:r w:rsidRPr="007F0901">
          <w:rPr>
            <w:rStyle w:val="Hyperlink"/>
            <w:rFonts w:cs="Calibri"/>
            <w:lang w:val="fr-FR"/>
          </w:rPr>
          <w:t>http://www.csa.fr/related to en/Television/Le-suivi-des-programmes/La-deontologie-de-l-information-et-des-programmes/Les-fondements-juridiques</w:t>
        </w:r>
      </w:hyperlink>
      <w:r w:rsidRPr="007F0901">
        <w:rPr>
          <w:lang w:val="fr-FR"/>
        </w:rPr>
        <w:t xml:space="preserve"> </w:t>
      </w:r>
    </w:p>
  </w:footnote>
  <w:footnote w:id="35">
    <w:p w:rsidR="009962E3" w:rsidRDefault="009962E3" w:rsidP="007F0901">
      <w:pPr>
        <w:pStyle w:val="FootnoteText"/>
      </w:pPr>
      <w:r>
        <w:rPr>
          <w:rStyle w:val="FootnoteReference"/>
          <w:rFonts w:cs="Calibri"/>
        </w:rPr>
        <w:footnoteRef/>
      </w:r>
      <w:r>
        <w:t xml:space="preserve"> </w:t>
      </w:r>
      <w:r>
        <w:rPr>
          <w:lang w:val="en-US"/>
        </w:rPr>
        <w:t xml:space="preserve">Available at: </w:t>
      </w:r>
      <w:hyperlink r:id="rId17" w:history="1">
        <w:r w:rsidRPr="008819DC">
          <w:rPr>
            <w:rStyle w:val="Hyperlink"/>
            <w:rFonts w:cs="Calibri"/>
          </w:rPr>
          <w:t>http://www.csa.fr/en/Television/Le-suivi-des-programmes/La-deontologie-de-l-information-et-des-programmes/Chronique-dans-l-emission-La-Nouvelle-Edition-Canal-mise-en-garde</w:t>
        </w:r>
      </w:hyperlink>
      <w:r>
        <w:rPr>
          <w:lang w:val="en-US"/>
        </w:rPr>
        <w:t xml:space="preserve"> </w:t>
      </w:r>
    </w:p>
  </w:footnote>
  <w:footnote w:id="36">
    <w:p w:rsidR="009962E3" w:rsidRDefault="009962E3" w:rsidP="007F0901">
      <w:pPr>
        <w:pStyle w:val="FootnoteText"/>
      </w:pPr>
      <w:r>
        <w:rPr>
          <w:rStyle w:val="FootnoteReference"/>
          <w:rFonts w:cs="Calibri"/>
        </w:rPr>
        <w:footnoteRef/>
      </w:r>
      <w:r>
        <w:t xml:space="preserve"> Available at: </w:t>
      </w:r>
      <w:hyperlink r:id="rId18" w:history="1">
        <w:r w:rsidRPr="00AC307F">
          <w:rPr>
            <w:rStyle w:val="Hyperlink"/>
            <w:rFonts w:cs="Calibri"/>
          </w:rPr>
          <w:t>http://www.csa.fr/Television/Le-suivi-des-programmes/La-deontologie-de-l-information-et-des-programmes/Images-de-guerre-au-Mali-le-CSA-met-en-garde-France-Televisions</w:t>
        </w:r>
      </w:hyperlink>
      <w:r>
        <w:t xml:space="preserve"> </w:t>
      </w:r>
    </w:p>
  </w:footnote>
  <w:footnote w:id="37">
    <w:p w:rsidR="009962E3" w:rsidRDefault="009962E3" w:rsidP="007F0901">
      <w:pPr>
        <w:pStyle w:val="FootnoteText"/>
      </w:pPr>
      <w:r>
        <w:rPr>
          <w:rStyle w:val="FootnoteReference"/>
          <w:rFonts w:cs="Calibri"/>
        </w:rPr>
        <w:footnoteRef/>
      </w:r>
      <w:r>
        <w:t xml:space="preserve"> For more details on the case visit: </w:t>
      </w:r>
      <w:hyperlink r:id="rId19" w:history="1">
        <w:r w:rsidRPr="00AC307F">
          <w:rPr>
            <w:rStyle w:val="Hyperlink"/>
            <w:rFonts w:cs="Calibri"/>
          </w:rPr>
          <w:t>http://merlin.obs.coe.int/iris/2005/2/article21.en.html</w:t>
        </w:r>
      </w:hyperlink>
      <w:r>
        <w:t xml:space="preserve"> </w:t>
      </w:r>
    </w:p>
  </w:footnote>
  <w:footnote w:id="38">
    <w:p w:rsidR="009962E3" w:rsidRDefault="009962E3" w:rsidP="007F0901">
      <w:pPr>
        <w:pStyle w:val="FootnoteText"/>
      </w:pPr>
      <w:r>
        <w:rPr>
          <w:rStyle w:val="FootnoteReference"/>
          <w:rFonts w:cs="Calibri"/>
        </w:rPr>
        <w:footnoteRef/>
      </w:r>
      <w:r>
        <w:t xml:space="preserve"> </w:t>
      </w:r>
      <w:r>
        <w:rPr>
          <w:lang w:val="en-US"/>
        </w:rPr>
        <w:t xml:space="preserve">Available in English at: </w:t>
      </w:r>
      <w:hyperlink r:id="rId20" w:history="1">
        <w:r w:rsidRPr="00AC307F">
          <w:rPr>
            <w:rStyle w:val="Hyperlink"/>
            <w:rFonts w:cs="Calibri"/>
          </w:rPr>
          <w:t>https://www.imolin.org/doc/amlid/Poland_Penal_Code1.pdf</w:t>
        </w:r>
      </w:hyperlink>
      <w:r>
        <w:rPr>
          <w:lang w:val="en-US"/>
        </w:rPr>
        <w:t xml:space="preserve"> </w:t>
      </w:r>
    </w:p>
  </w:footnote>
  <w:footnote w:id="39">
    <w:p w:rsidR="009962E3" w:rsidRDefault="009962E3" w:rsidP="007F0901">
      <w:pPr>
        <w:pStyle w:val="FootnoteText"/>
      </w:pPr>
      <w:r>
        <w:rPr>
          <w:rStyle w:val="FootnoteReference"/>
          <w:rFonts w:cs="Calibri"/>
        </w:rPr>
        <w:footnoteRef/>
      </w:r>
      <w:r>
        <w:t xml:space="preserve"> </w:t>
      </w:r>
      <w:r>
        <w:rPr>
          <w:lang w:val="en-US"/>
        </w:rPr>
        <w:t xml:space="preserve">Available at: </w:t>
      </w:r>
      <w:hyperlink r:id="rId21" w:history="1">
        <w:r w:rsidRPr="00AC307F">
          <w:rPr>
            <w:rStyle w:val="Hyperlink"/>
            <w:rFonts w:cs="Calibri"/>
          </w:rPr>
          <w:t>http://www.krrit.gov.pl/Data/Files/_public/Portals/0/angielska/Documents/Regulations/broadcasting_act_28022013.pdf</w:t>
        </w:r>
      </w:hyperlink>
      <w:r>
        <w:rPr>
          <w:lang w:val="en-US"/>
        </w:rPr>
        <w:t xml:space="preserve"> </w:t>
      </w:r>
    </w:p>
  </w:footnote>
  <w:footnote w:id="40">
    <w:p w:rsidR="009962E3" w:rsidRDefault="009962E3" w:rsidP="007F0901">
      <w:pPr>
        <w:pStyle w:val="FootnoteText"/>
      </w:pPr>
      <w:r>
        <w:rPr>
          <w:rStyle w:val="FootnoteReference"/>
          <w:rFonts w:cs="Calibri"/>
        </w:rPr>
        <w:footnoteRef/>
      </w:r>
      <w:r>
        <w:t xml:space="preserve"> </w:t>
      </w:r>
      <w:r>
        <w:rPr>
          <w:lang w:val="en-US"/>
        </w:rPr>
        <w:t xml:space="preserve">Available in the Polish language at: </w:t>
      </w:r>
      <w:hyperlink r:id="rId22" w:history="1">
        <w:r w:rsidRPr="00AC307F">
          <w:rPr>
            <w:rStyle w:val="Hyperlink"/>
            <w:rFonts w:cs="Calibri"/>
          </w:rPr>
          <w:t>http://www.krrit.gov.pl/Data/Files/_public/Portals/0/konsultacje/decyzja-eska-rock-2012-.pdf</w:t>
        </w:r>
      </w:hyperlink>
      <w:r>
        <w:rPr>
          <w:lang w:val="en-US"/>
        </w:rPr>
        <w:t xml:space="preserve"> </w:t>
      </w:r>
    </w:p>
  </w:footnote>
  <w:footnote w:id="41">
    <w:p w:rsidR="009962E3" w:rsidRDefault="009962E3" w:rsidP="007F0901">
      <w:pPr>
        <w:pStyle w:val="FootnoteText"/>
      </w:pPr>
      <w:r>
        <w:rPr>
          <w:rStyle w:val="FootnoteReference"/>
          <w:rFonts w:cs="Calibri"/>
        </w:rPr>
        <w:footnoteRef/>
      </w:r>
      <w:r>
        <w:t xml:space="preserve"> Available at: </w:t>
      </w:r>
      <w:hyperlink r:id="rId23" w:history="1">
        <w:r w:rsidRPr="007114A1">
          <w:rPr>
            <w:rStyle w:val="Hyperlink"/>
            <w:rFonts w:cs="Calibri"/>
          </w:rPr>
          <w:t>http://rak.ba/eng/index.php?uid=1328108149</w:t>
        </w:r>
      </w:hyperlink>
      <w:r>
        <w:t xml:space="preserve"> </w:t>
      </w:r>
    </w:p>
  </w:footnote>
  <w:footnote w:id="42">
    <w:p w:rsidR="009962E3" w:rsidRDefault="009962E3" w:rsidP="007F0901">
      <w:pPr>
        <w:pStyle w:val="FootnoteText"/>
      </w:pPr>
      <w:r w:rsidRPr="009F42DA">
        <w:rPr>
          <w:rStyle w:val="FootnoteReference"/>
          <w:rFonts w:ascii="Bookman Old Style" w:hAnsi="Bookman Old Style" w:cs="Calibri"/>
        </w:rPr>
        <w:footnoteRef/>
      </w:r>
      <w:r w:rsidRPr="009F42DA">
        <w:rPr>
          <w:rFonts w:ascii="Bookman Old Style" w:hAnsi="Bookman Old Style"/>
        </w:rPr>
        <w:t xml:space="preserve"> See the CRA Annual Report for 2012, available at: </w:t>
      </w:r>
      <w:hyperlink r:id="rId24" w:history="1">
        <w:r w:rsidRPr="009F42DA">
          <w:rPr>
            <w:rStyle w:val="Hyperlink"/>
            <w:rFonts w:ascii="Bookman Old Style" w:hAnsi="Bookman Old Style" w:cs="Calibri"/>
          </w:rPr>
          <w:t>http://rak.ba/bos/index.php?uid=1272548169</w:t>
        </w:r>
      </w:hyperlink>
      <w:r w:rsidRPr="009F42DA">
        <w:rPr>
          <w:rFonts w:ascii="Bookman Old Style" w:hAnsi="Bookman Old Style"/>
        </w:rPr>
        <w:t xml:space="preserve"> </w:t>
      </w:r>
    </w:p>
  </w:footnote>
  <w:footnote w:id="43">
    <w:p w:rsidR="009962E3" w:rsidRDefault="009962E3" w:rsidP="007F0901">
      <w:pPr>
        <w:pStyle w:val="FootnoteText"/>
      </w:pPr>
      <w:r w:rsidRPr="009F42DA">
        <w:rPr>
          <w:rStyle w:val="FootnoteReference"/>
          <w:rFonts w:ascii="Bookman Old Style" w:hAnsi="Bookman Old Style" w:cs="Calibri"/>
        </w:rPr>
        <w:footnoteRef/>
      </w:r>
      <w:r w:rsidRPr="009F42DA">
        <w:rPr>
          <w:rFonts w:ascii="Bookman Old Style" w:hAnsi="Bookman Old Style"/>
        </w:rPr>
        <w:t xml:space="preserve"> </w:t>
      </w:r>
      <w:r w:rsidRPr="009F42DA">
        <w:rPr>
          <w:rFonts w:ascii="Bookman Old Style" w:hAnsi="Bookman Old Style"/>
          <w:lang w:val="en-US"/>
        </w:rPr>
        <w:t>Available at:</w:t>
      </w:r>
      <w:r w:rsidRPr="009F42DA">
        <w:rPr>
          <w:rFonts w:ascii="Bookman Old Style" w:hAnsi="Bookman Old Style"/>
        </w:rPr>
        <w:t xml:space="preserve"> </w:t>
      </w:r>
      <w:hyperlink r:id="rId25" w:history="1">
        <w:r w:rsidRPr="009F42DA">
          <w:rPr>
            <w:rStyle w:val="Hyperlink"/>
            <w:rFonts w:ascii="Bookman Old Style" w:hAnsi="Bookman Old Style" w:cs="Calibri"/>
          </w:rPr>
          <w:t>file:///C:/Documents%20and%20Settings/strpevska/My%20Documents/Downloads/bci_cops_Mar07.pdf</w:t>
        </w:r>
      </w:hyperlink>
      <w:r w:rsidRPr="009F42DA">
        <w:rPr>
          <w:rFonts w:ascii="Bookman Old Style" w:hAnsi="Bookman Old Style"/>
          <w:lang w:val="en-US"/>
        </w:rPr>
        <w:t xml:space="preserve"> </w:t>
      </w:r>
    </w:p>
  </w:footnote>
  <w:footnote w:id="44">
    <w:p w:rsidR="009962E3" w:rsidRDefault="009962E3" w:rsidP="007F0901">
      <w:pPr>
        <w:pStyle w:val="FootnoteText"/>
      </w:pPr>
      <w:r w:rsidRPr="009F42DA">
        <w:rPr>
          <w:rStyle w:val="FootnoteReference"/>
          <w:rFonts w:ascii="Bookman Old Style" w:hAnsi="Bookman Old Style" w:cs="Calibri"/>
        </w:rPr>
        <w:footnoteRef/>
      </w:r>
      <w:r w:rsidRPr="009F42DA">
        <w:rPr>
          <w:rFonts w:ascii="Bookman Old Style" w:hAnsi="Bookman Old Style"/>
        </w:rPr>
        <w:t xml:space="preserve"> </w:t>
      </w:r>
      <w:r w:rsidRPr="009F42DA">
        <w:rPr>
          <w:rFonts w:ascii="Bookman Old Style" w:hAnsi="Bookman Old Style"/>
          <w:lang w:val="en-US"/>
        </w:rPr>
        <w:t xml:space="preserve">Available at: </w:t>
      </w:r>
      <w:hyperlink r:id="rId26" w:history="1">
        <w:r w:rsidRPr="009F42DA">
          <w:rPr>
            <w:rStyle w:val="Hyperlink"/>
            <w:rFonts w:ascii="Bookman Old Style" w:hAnsi="Bookman Old Style" w:cs="Calibri"/>
          </w:rPr>
          <w:t>file:///C:/Documents%20and%20Settings/strpevska/My%20Documents/Downloads/20070410_COPS_GuidanceNotes_vFinal.pdf</w:t>
        </w:r>
      </w:hyperlink>
      <w:r w:rsidRPr="009F42DA">
        <w:rPr>
          <w:rFonts w:ascii="Bookman Old Style" w:hAnsi="Bookman Old Style"/>
          <w:lang w:val="en-US"/>
        </w:rPr>
        <w:t xml:space="preserve"> </w:t>
      </w:r>
    </w:p>
  </w:footnote>
  <w:footnote w:id="45">
    <w:p w:rsidR="009962E3" w:rsidRDefault="009962E3" w:rsidP="007F0901">
      <w:pPr>
        <w:pStyle w:val="FootnoteText"/>
      </w:pPr>
      <w:r>
        <w:rPr>
          <w:rStyle w:val="FootnoteReference"/>
          <w:rFonts w:cs="Calibri"/>
        </w:rPr>
        <w:footnoteRef/>
      </w:r>
      <w:r>
        <w:t xml:space="preserve"> </w:t>
      </w:r>
      <w:r>
        <w:rPr>
          <w:lang w:val="en-US"/>
        </w:rPr>
        <w:t xml:space="preserve">More details on this at: </w:t>
      </w:r>
      <w:hyperlink r:id="rId27" w:history="1">
        <w:r w:rsidRPr="003F0BF5">
          <w:rPr>
            <w:rStyle w:val="Hyperlink"/>
            <w:rFonts w:cs="Calibri"/>
          </w:rPr>
          <w:t>http://www.bai.ie/wordpress/wp-content/uploads/201310_October2013_vFinal.pdf</w:t>
        </w:r>
      </w:hyperlink>
      <w:r>
        <w:rPr>
          <w:lang w:val="en-US"/>
        </w:rPr>
        <w:t xml:space="preserve"> </w:t>
      </w:r>
    </w:p>
  </w:footnote>
  <w:footnote w:id="46">
    <w:p w:rsidR="009962E3" w:rsidRDefault="009962E3" w:rsidP="007F0901">
      <w:pPr>
        <w:pStyle w:val="FootnoteText"/>
      </w:pPr>
      <w:r>
        <w:rPr>
          <w:rStyle w:val="FootnoteReference"/>
          <w:rFonts w:cs="Calibri"/>
        </w:rPr>
        <w:footnoteRef/>
      </w:r>
      <w:r>
        <w:t xml:space="preserve"> </w:t>
      </w:r>
      <w:r>
        <w:rPr>
          <w:lang w:val="en-US"/>
        </w:rPr>
        <w:t xml:space="preserve">For more details, visit: </w:t>
      </w:r>
      <w:hyperlink r:id="rId28" w:history="1">
        <w:r w:rsidRPr="003F0BF5">
          <w:rPr>
            <w:rStyle w:val="Hyperlink"/>
            <w:rFonts w:cs="Calibri"/>
          </w:rPr>
          <w:t>http://www.bai.ie/wordpress/wp-content/uploads/CCECFDecisions_Sept2013_vFinal.pdf</w:t>
        </w:r>
      </w:hyperlink>
      <w:r>
        <w:rPr>
          <w:lang w:val="en-US"/>
        </w:rPr>
        <w:t xml:space="preserve"> </w:t>
      </w:r>
    </w:p>
  </w:footnote>
  <w:footnote w:id="47">
    <w:p w:rsidR="009962E3" w:rsidRDefault="009962E3" w:rsidP="001A30B7">
      <w:pPr>
        <w:pStyle w:val="FootnoteText"/>
      </w:pPr>
      <w:r w:rsidRPr="0066730E">
        <w:rPr>
          <w:rStyle w:val="FootnoteReference"/>
          <w:rFonts w:ascii="Times New Roman" w:hAnsi="Times New Roman"/>
        </w:rPr>
        <w:footnoteRef/>
      </w:r>
      <w:r w:rsidRPr="0066730E">
        <w:rPr>
          <w:rFonts w:ascii="Times New Roman" w:hAnsi="Times New Roman" w:cs="Times New Roman"/>
        </w:rPr>
        <w:t xml:space="preserve"> </w:t>
      </w:r>
      <w:r>
        <w:rPr>
          <w:rFonts w:ascii="Times New Roman" w:hAnsi="Times New Roman" w:cs="Times New Roman"/>
          <w:lang w:val="en-US"/>
        </w:rPr>
        <w:t>For</w:t>
      </w:r>
      <w:r w:rsidRPr="0066730E">
        <w:rPr>
          <w:rFonts w:ascii="Times New Roman" w:hAnsi="Times New Roman" w:cs="Times New Roman"/>
          <w:lang w:val="en-US"/>
        </w:rPr>
        <w:t xml:space="preserve"> more details </w:t>
      </w:r>
      <w:r>
        <w:rPr>
          <w:rFonts w:ascii="Times New Roman" w:hAnsi="Times New Roman" w:cs="Times New Roman"/>
          <w:lang w:val="en-US"/>
        </w:rPr>
        <w:t>visit</w:t>
      </w:r>
      <w:r w:rsidRPr="0066730E">
        <w:rPr>
          <w:rFonts w:ascii="Times New Roman" w:hAnsi="Times New Roman" w:cs="Times New Roman"/>
          <w:lang w:val="en-US"/>
        </w:rPr>
        <w:t xml:space="preserve">: </w:t>
      </w:r>
      <w:hyperlink r:id="rId29" w:history="1">
        <w:r w:rsidRPr="0066730E">
          <w:rPr>
            <w:rStyle w:val="Hyperlink"/>
            <w:rFonts w:ascii="Times New Roman" w:hAnsi="Times New Roman"/>
          </w:rPr>
          <w:t>http://ec.europa.eu/digital-agenda/en/avmsd-audiovisual-regulators</w:t>
        </w:r>
      </w:hyperlink>
      <w:r w:rsidRPr="0066730E">
        <w:rPr>
          <w:rFonts w:ascii="Times New Roman" w:hAnsi="Times New Roman" w:cs="Times New Roman"/>
          <w:lang w:val="en-US"/>
        </w:rPr>
        <w:t xml:space="preserve"> </w:t>
      </w:r>
    </w:p>
  </w:footnote>
  <w:footnote w:id="48">
    <w:p w:rsidR="009962E3" w:rsidRDefault="009962E3">
      <w:pPr>
        <w:pStyle w:val="FootnoteText"/>
      </w:pPr>
      <w:r w:rsidRPr="0066730E">
        <w:rPr>
          <w:rStyle w:val="FootnoteReference"/>
          <w:rFonts w:ascii="Times New Roman" w:hAnsi="Times New Roman"/>
        </w:rPr>
        <w:footnoteRef/>
      </w:r>
      <w:r w:rsidRPr="0066730E">
        <w:rPr>
          <w:rFonts w:ascii="Times New Roman" w:hAnsi="Times New Roman" w:cs="Times New Roman"/>
        </w:rPr>
        <w:t xml:space="preserve"> EPRA </w:t>
      </w:r>
      <w:r w:rsidRPr="0066730E">
        <w:rPr>
          <w:rFonts w:ascii="Times New Roman" w:hAnsi="Times New Roman" w:cs="Times New Roman"/>
          <w:lang w:val="en-US"/>
        </w:rPr>
        <w:t xml:space="preserve">Draft Background Paper: Summary of the answers to the Hate speech Questionnaire, presented </w:t>
      </w:r>
      <w:r>
        <w:rPr>
          <w:rFonts w:ascii="Times New Roman" w:hAnsi="Times New Roman" w:cs="Times New Roman"/>
          <w:lang w:val="en-US"/>
        </w:rPr>
        <w:t>at</w:t>
      </w:r>
      <w:r w:rsidRPr="0066730E">
        <w:rPr>
          <w:rFonts w:ascii="Times New Roman" w:hAnsi="Times New Roman" w:cs="Times New Roman"/>
          <w:lang w:val="en-US"/>
        </w:rPr>
        <w:t xml:space="preserve"> the Plenary Session 2</w:t>
      </w:r>
      <w:r>
        <w:rPr>
          <w:rFonts w:ascii="Times New Roman" w:hAnsi="Times New Roman" w:cs="Times New Roman"/>
          <w:lang w:val="en-US"/>
        </w:rPr>
        <w:t>:</w:t>
      </w:r>
      <w:r w:rsidRPr="0066730E">
        <w:rPr>
          <w:rFonts w:ascii="Times New Roman" w:hAnsi="Times New Roman" w:cs="Times New Roman"/>
          <w:lang w:val="en-US"/>
        </w:rPr>
        <w:t xml:space="preserve"> </w:t>
      </w:r>
      <w:r w:rsidRPr="00390ABE">
        <w:rPr>
          <w:rFonts w:ascii="Times New Roman" w:hAnsi="Times New Roman" w:cs="Times New Roman"/>
          <w:i/>
          <w:lang w:val="en-US"/>
        </w:rPr>
        <w:t xml:space="preserve">Hate Speech </w:t>
      </w:r>
      <w:r w:rsidRPr="00C33FE8">
        <w:rPr>
          <w:rFonts w:ascii="Times New Roman" w:hAnsi="Times New Roman" w:cs="Times New Roman"/>
          <w:i/>
          <w:lang w:val="en-US"/>
        </w:rPr>
        <w:t>–</w:t>
      </w:r>
      <w:r w:rsidRPr="00390ABE">
        <w:rPr>
          <w:rFonts w:ascii="Times New Roman" w:hAnsi="Times New Roman" w:cs="Times New Roman"/>
          <w:i/>
          <w:lang w:val="en-US"/>
        </w:rPr>
        <w:t xml:space="preserve"> Old Enemy, New Battles,</w:t>
      </w:r>
      <w:r w:rsidRPr="0066730E">
        <w:rPr>
          <w:rFonts w:ascii="Times New Roman" w:hAnsi="Times New Roman" w:cs="Times New Roman"/>
          <w:lang w:val="en-US"/>
        </w:rPr>
        <w:t xml:space="preserve"> 39</w:t>
      </w:r>
      <w:r w:rsidRPr="0066730E">
        <w:rPr>
          <w:rFonts w:ascii="Times New Roman" w:hAnsi="Times New Roman" w:cs="Times New Roman"/>
          <w:vertAlign w:val="superscript"/>
          <w:lang w:val="en-US"/>
        </w:rPr>
        <w:t>th</w:t>
      </w:r>
      <w:r w:rsidRPr="0066730E">
        <w:rPr>
          <w:rFonts w:ascii="Times New Roman" w:hAnsi="Times New Roman" w:cs="Times New Roman"/>
          <w:lang w:val="en-US"/>
        </w:rPr>
        <w:t xml:space="preserve"> EPRA meeting, Budva 4-6 June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4F9"/>
    <w:multiLevelType w:val="hybridMultilevel"/>
    <w:tmpl w:val="6CA6B1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84454F"/>
    <w:multiLevelType w:val="hybridMultilevel"/>
    <w:tmpl w:val="670A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97408B"/>
    <w:multiLevelType w:val="multilevel"/>
    <w:tmpl w:val="511E5EBC"/>
    <w:lvl w:ilvl="0">
      <w:start w:val="1"/>
      <w:numFmt w:val="decimal"/>
      <w:lvlText w:val="%1."/>
      <w:lvlJc w:val="left"/>
      <w:pPr>
        <w:ind w:left="63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15:restartNumberingAfterBreak="0">
    <w:nsid w:val="0FA03131"/>
    <w:multiLevelType w:val="multilevel"/>
    <w:tmpl w:val="D96476AA"/>
    <w:lvl w:ilvl="0">
      <w:start w:val="1"/>
      <w:numFmt w:val="decimal"/>
      <w:lvlText w:val="%1."/>
      <w:lvlJc w:val="left"/>
      <w:pPr>
        <w:tabs>
          <w:tab w:val="num" w:pos="0"/>
        </w:tabs>
        <w:ind w:left="284" w:hanging="14"/>
      </w:pPr>
      <w:rPr>
        <w:rFonts w:cs="Times New Roman" w:hint="default"/>
      </w:rPr>
    </w:lvl>
    <w:lvl w:ilvl="1">
      <w:start w:val="1"/>
      <w:numFmt w:val="decimal"/>
      <w:isLgl/>
      <w:lvlText w:val="%1.%2"/>
      <w:lvlJc w:val="left"/>
      <w:pPr>
        <w:tabs>
          <w:tab w:val="num" w:pos="0"/>
        </w:tabs>
        <w:ind w:left="1440" w:hanging="36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160" w:hanging="1080"/>
      </w:pPr>
      <w:rPr>
        <w:rFonts w:cs="Times New Roman" w:hint="default"/>
      </w:rPr>
    </w:lvl>
    <w:lvl w:ilvl="5">
      <w:start w:val="1"/>
      <w:numFmt w:val="decimal"/>
      <w:isLgl/>
      <w:lvlText w:val="%1.%2.%3.%4.%5.%6"/>
      <w:lvlJc w:val="left"/>
      <w:pPr>
        <w:tabs>
          <w:tab w:val="num" w:pos="0"/>
        </w:tabs>
        <w:ind w:left="2160" w:hanging="1080"/>
      </w:pPr>
      <w:rPr>
        <w:rFonts w:cs="Times New Roman" w:hint="default"/>
      </w:rPr>
    </w:lvl>
    <w:lvl w:ilvl="6">
      <w:start w:val="1"/>
      <w:numFmt w:val="decimal"/>
      <w:isLgl/>
      <w:lvlText w:val="%1.%2.%3.%4.%5.%6.%7"/>
      <w:lvlJc w:val="left"/>
      <w:pPr>
        <w:tabs>
          <w:tab w:val="num" w:pos="0"/>
        </w:tabs>
        <w:ind w:left="2520" w:hanging="1440"/>
      </w:pPr>
      <w:rPr>
        <w:rFonts w:cs="Times New Roman" w:hint="default"/>
      </w:rPr>
    </w:lvl>
    <w:lvl w:ilvl="7">
      <w:start w:val="1"/>
      <w:numFmt w:val="decimal"/>
      <w:isLgl/>
      <w:lvlText w:val="%1.%2.%3.%4.%5.%6.%7.%8"/>
      <w:lvlJc w:val="left"/>
      <w:pPr>
        <w:tabs>
          <w:tab w:val="num" w:pos="0"/>
        </w:tabs>
        <w:ind w:left="2520" w:hanging="1440"/>
      </w:pPr>
      <w:rPr>
        <w:rFonts w:cs="Times New Roman" w:hint="default"/>
      </w:rPr>
    </w:lvl>
    <w:lvl w:ilvl="8">
      <w:start w:val="1"/>
      <w:numFmt w:val="decimal"/>
      <w:isLgl/>
      <w:lvlText w:val="%1.%2.%3.%4.%5.%6.%7.%8.%9"/>
      <w:lvlJc w:val="left"/>
      <w:pPr>
        <w:tabs>
          <w:tab w:val="num" w:pos="0"/>
        </w:tabs>
        <w:ind w:left="2880" w:hanging="1800"/>
      </w:pPr>
      <w:rPr>
        <w:rFonts w:cs="Times New Roman" w:hint="default"/>
      </w:rPr>
    </w:lvl>
  </w:abstractNum>
  <w:abstractNum w:abstractNumId="4" w15:restartNumberingAfterBreak="0">
    <w:nsid w:val="10525704"/>
    <w:multiLevelType w:val="hybridMultilevel"/>
    <w:tmpl w:val="0E4E2C78"/>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227E19"/>
    <w:multiLevelType w:val="hybridMultilevel"/>
    <w:tmpl w:val="B2307CEE"/>
    <w:lvl w:ilvl="0" w:tplc="9C4824DE">
      <w:start w:val="1"/>
      <w:numFmt w:val="decimal"/>
      <w:lvlText w:val="(%1)"/>
      <w:lvlJc w:val="left"/>
      <w:pPr>
        <w:ind w:left="720" w:hanging="360"/>
      </w:pPr>
      <w:rPr>
        <w:rFonts w:ascii="Arial" w:hAnsi="Arial" w:cs="Arial" w:hint="default"/>
        <w:i/>
        <w:iCs/>
        <w:color w:val="00000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11D42742"/>
    <w:multiLevelType w:val="hybridMultilevel"/>
    <w:tmpl w:val="A8288362"/>
    <w:lvl w:ilvl="0" w:tplc="A0A45D38">
      <w:start w:val="7"/>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9126B"/>
    <w:multiLevelType w:val="hybridMultilevel"/>
    <w:tmpl w:val="A17E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373BF5"/>
    <w:multiLevelType w:val="hybridMultilevel"/>
    <w:tmpl w:val="CE5064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4C7AC0"/>
    <w:multiLevelType w:val="hybridMultilevel"/>
    <w:tmpl w:val="E386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310D0"/>
    <w:multiLevelType w:val="multilevel"/>
    <w:tmpl w:val="CA7EF6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1" w15:restartNumberingAfterBreak="0">
    <w:nsid w:val="1A8507BC"/>
    <w:multiLevelType w:val="hybridMultilevel"/>
    <w:tmpl w:val="4F62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E794A36"/>
    <w:multiLevelType w:val="hybridMultilevel"/>
    <w:tmpl w:val="9CF8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767815"/>
    <w:multiLevelType w:val="hybridMultilevel"/>
    <w:tmpl w:val="0FC8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339EE"/>
    <w:multiLevelType w:val="multilevel"/>
    <w:tmpl w:val="D61C7E78"/>
    <w:lvl w:ilvl="0">
      <w:start w:val="1"/>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1080" w:hanging="360"/>
      </w:pPr>
      <w:rPr>
        <w:rFonts w:cs="Times New Roman" w:hint="default"/>
        <w:b/>
      </w:rPr>
    </w:lvl>
    <w:lvl w:ilvl="2">
      <w:start w:val="1"/>
      <w:numFmt w:val="decimal"/>
      <w:isLgl/>
      <w:lvlText w:val="%1.%2.%3"/>
      <w:lvlJc w:val="left"/>
      <w:pPr>
        <w:tabs>
          <w:tab w:val="num" w:pos="0"/>
        </w:tabs>
        <w:ind w:left="1800" w:hanging="720"/>
      </w:pPr>
      <w:rPr>
        <w:rFonts w:cs="Times New Roman" w:hint="default"/>
        <w:b/>
      </w:rPr>
    </w:lvl>
    <w:lvl w:ilvl="3">
      <w:start w:val="1"/>
      <w:numFmt w:val="decimal"/>
      <w:isLgl/>
      <w:lvlText w:val="%1.%2.%3.%4"/>
      <w:lvlJc w:val="left"/>
      <w:pPr>
        <w:tabs>
          <w:tab w:val="num" w:pos="0"/>
        </w:tabs>
        <w:ind w:left="2160" w:hanging="720"/>
      </w:pPr>
      <w:rPr>
        <w:rFonts w:cs="Times New Roman" w:hint="default"/>
        <w:b/>
      </w:rPr>
    </w:lvl>
    <w:lvl w:ilvl="4">
      <w:start w:val="1"/>
      <w:numFmt w:val="decimal"/>
      <w:isLgl/>
      <w:lvlText w:val="%1.%2.%3.%4.%5"/>
      <w:lvlJc w:val="left"/>
      <w:pPr>
        <w:tabs>
          <w:tab w:val="num" w:pos="0"/>
        </w:tabs>
        <w:ind w:left="2880" w:hanging="1080"/>
      </w:pPr>
      <w:rPr>
        <w:rFonts w:cs="Times New Roman" w:hint="default"/>
        <w:b/>
      </w:rPr>
    </w:lvl>
    <w:lvl w:ilvl="5">
      <w:start w:val="1"/>
      <w:numFmt w:val="decimal"/>
      <w:isLgl/>
      <w:lvlText w:val="%1.%2.%3.%4.%5.%6"/>
      <w:lvlJc w:val="left"/>
      <w:pPr>
        <w:tabs>
          <w:tab w:val="num" w:pos="0"/>
        </w:tabs>
        <w:ind w:left="3240" w:hanging="1080"/>
      </w:pPr>
      <w:rPr>
        <w:rFonts w:cs="Times New Roman" w:hint="default"/>
        <w:b/>
      </w:rPr>
    </w:lvl>
    <w:lvl w:ilvl="6">
      <w:start w:val="1"/>
      <w:numFmt w:val="decimal"/>
      <w:isLgl/>
      <w:lvlText w:val="%1.%2.%3.%4.%5.%6.%7"/>
      <w:lvlJc w:val="left"/>
      <w:pPr>
        <w:tabs>
          <w:tab w:val="num" w:pos="0"/>
        </w:tabs>
        <w:ind w:left="3960" w:hanging="1440"/>
      </w:pPr>
      <w:rPr>
        <w:rFonts w:cs="Times New Roman" w:hint="default"/>
        <w:b/>
      </w:rPr>
    </w:lvl>
    <w:lvl w:ilvl="7">
      <w:start w:val="1"/>
      <w:numFmt w:val="decimal"/>
      <w:isLgl/>
      <w:lvlText w:val="%1.%2.%3.%4.%5.%6.%7.%8"/>
      <w:lvlJc w:val="left"/>
      <w:pPr>
        <w:tabs>
          <w:tab w:val="num" w:pos="0"/>
        </w:tabs>
        <w:ind w:left="4320" w:hanging="1440"/>
      </w:pPr>
      <w:rPr>
        <w:rFonts w:cs="Times New Roman" w:hint="default"/>
        <w:b/>
      </w:rPr>
    </w:lvl>
    <w:lvl w:ilvl="8">
      <w:start w:val="1"/>
      <w:numFmt w:val="decimal"/>
      <w:isLgl/>
      <w:lvlText w:val="%1.%2.%3.%4.%5.%6.%7.%8.%9"/>
      <w:lvlJc w:val="left"/>
      <w:pPr>
        <w:tabs>
          <w:tab w:val="num" w:pos="0"/>
        </w:tabs>
        <w:ind w:left="5040" w:hanging="1800"/>
      </w:pPr>
      <w:rPr>
        <w:rFonts w:cs="Times New Roman" w:hint="default"/>
        <w:b/>
      </w:rPr>
    </w:lvl>
  </w:abstractNum>
  <w:abstractNum w:abstractNumId="15" w15:restartNumberingAfterBreak="0">
    <w:nsid w:val="2B215364"/>
    <w:multiLevelType w:val="hybridMultilevel"/>
    <w:tmpl w:val="D3E0BA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03C27D9"/>
    <w:multiLevelType w:val="hybridMultilevel"/>
    <w:tmpl w:val="D460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54948"/>
    <w:multiLevelType w:val="hybridMultilevel"/>
    <w:tmpl w:val="0534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1F4DD5"/>
    <w:multiLevelType w:val="multilevel"/>
    <w:tmpl w:val="ABB02F0E"/>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35455244"/>
    <w:multiLevelType w:val="hybridMultilevel"/>
    <w:tmpl w:val="9E606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DF1B71"/>
    <w:multiLevelType w:val="multilevel"/>
    <w:tmpl w:val="FB2A32C8"/>
    <w:lvl w:ilvl="0">
      <w:start w:val="3"/>
      <w:numFmt w:val="decimal"/>
      <w:lvlText w:val="%1"/>
      <w:lvlJc w:val="left"/>
      <w:pPr>
        <w:ind w:left="360" w:hanging="360"/>
      </w:pPr>
      <w:rPr>
        <w:rFonts w:eastAsia="Times New Roman" w:cs="Times New Roman" w:hint="default"/>
        <w:b/>
        <w:sz w:val="23"/>
      </w:rPr>
    </w:lvl>
    <w:lvl w:ilvl="1">
      <w:start w:val="4"/>
      <w:numFmt w:val="decimal"/>
      <w:lvlText w:val="%1.%2"/>
      <w:lvlJc w:val="left"/>
      <w:pPr>
        <w:ind w:left="1080" w:hanging="360"/>
      </w:pPr>
      <w:rPr>
        <w:rFonts w:eastAsia="Times New Roman" w:cs="Times New Roman" w:hint="default"/>
        <w:b/>
        <w:sz w:val="23"/>
      </w:rPr>
    </w:lvl>
    <w:lvl w:ilvl="2">
      <w:start w:val="1"/>
      <w:numFmt w:val="decimal"/>
      <w:lvlText w:val="%1.%2.%3"/>
      <w:lvlJc w:val="left"/>
      <w:pPr>
        <w:ind w:left="2160" w:hanging="720"/>
      </w:pPr>
      <w:rPr>
        <w:rFonts w:eastAsia="Times New Roman" w:cs="Times New Roman" w:hint="default"/>
        <w:b/>
        <w:sz w:val="23"/>
      </w:rPr>
    </w:lvl>
    <w:lvl w:ilvl="3">
      <w:start w:val="1"/>
      <w:numFmt w:val="decimal"/>
      <w:lvlText w:val="%1.%2.%3.%4"/>
      <w:lvlJc w:val="left"/>
      <w:pPr>
        <w:ind w:left="2880" w:hanging="720"/>
      </w:pPr>
      <w:rPr>
        <w:rFonts w:eastAsia="Times New Roman" w:cs="Times New Roman" w:hint="default"/>
        <w:b/>
        <w:sz w:val="23"/>
      </w:rPr>
    </w:lvl>
    <w:lvl w:ilvl="4">
      <w:start w:val="1"/>
      <w:numFmt w:val="decimal"/>
      <w:lvlText w:val="%1.%2.%3.%4.%5"/>
      <w:lvlJc w:val="left"/>
      <w:pPr>
        <w:ind w:left="3960" w:hanging="1080"/>
      </w:pPr>
      <w:rPr>
        <w:rFonts w:eastAsia="Times New Roman" w:cs="Times New Roman" w:hint="default"/>
        <w:b/>
        <w:sz w:val="23"/>
      </w:rPr>
    </w:lvl>
    <w:lvl w:ilvl="5">
      <w:start w:val="1"/>
      <w:numFmt w:val="decimal"/>
      <w:lvlText w:val="%1.%2.%3.%4.%5.%6"/>
      <w:lvlJc w:val="left"/>
      <w:pPr>
        <w:ind w:left="4680" w:hanging="1080"/>
      </w:pPr>
      <w:rPr>
        <w:rFonts w:eastAsia="Times New Roman" w:cs="Times New Roman" w:hint="default"/>
        <w:b/>
        <w:sz w:val="23"/>
      </w:rPr>
    </w:lvl>
    <w:lvl w:ilvl="6">
      <w:start w:val="1"/>
      <w:numFmt w:val="decimal"/>
      <w:lvlText w:val="%1.%2.%3.%4.%5.%6.%7"/>
      <w:lvlJc w:val="left"/>
      <w:pPr>
        <w:ind w:left="5760" w:hanging="1440"/>
      </w:pPr>
      <w:rPr>
        <w:rFonts w:eastAsia="Times New Roman" w:cs="Times New Roman" w:hint="default"/>
        <w:b/>
        <w:sz w:val="23"/>
      </w:rPr>
    </w:lvl>
    <w:lvl w:ilvl="7">
      <w:start w:val="1"/>
      <w:numFmt w:val="decimal"/>
      <w:lvlText w:val="%1.%2.%3.%4.%5.%6.%7.%8"/>
      <w:lvlJc w:val="left"/>
      <w:pPr>
        <w:ind w:left="6480" w:hanging="1440"/>
      </w:pPr>
      <w:rPr>
        <w:rFonts w:eastAsia="Times New Roman" w:cs="Times New Roman" w:hint="default"/>
        <w:b/>
        <w:sz w:val="23"/>
      </w:rPr>
    </w:lvl>
    <w:lvl w:ilvl="8">
      <w:start w:val="1"/>
      <w:numFmt w:val="decimal"/>
      <w:lvlText w:val="%1.%2.%3.%4.%5.%6.%7.%8.%9"/>
      <w:lvlJc w:val="left"/>
      <w:pPr>
        <w:ind w:left="7560" w:hanging="1800"/>
      </w:pPr>
      <w:rPr>
        <w:rFonts w:eastAsia="Times New Roman" w:cs="Times New Roman" w:hint="default"/>
        <w:b/>
        <w:sz w:val="23"/>
      </w:rPr>
    </w:lvl>
  </w:abstractNum>
  <w:abstractNum w:abstractNumId="21" w15:restartNumberingAfterBreak="0">
    <w:nsid w:val="39967E04"/>
    <w:multiLevelType w:val="multilevel"/>
    <w:tmpl w:val="8F1005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415D502A"/>
    <w:multiLevelType w:val="hybridMultilevel"/>
    <w:tmpl w:val="4824E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262017"/>
    <w:multiLevelType w:val="hybridMultilevel"/>
    <w:tmpl w:val="7BC8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ED4101"/>
    <w:multiLevelType w:val="hybridMultilevel"/>
    <w:tmpl w:val="6E3C9218"/>
    <w:lvl w:ilvl="0" w:tplc="FB92C372">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DF32393"/>
    <w:multiLevelType w:val="hybridMultilevel"/>
    <w:tmpl w:val="05CCD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7A6320"/>
    <w:multiLevelType w:val="hybridMultilevel"/>
    <w:tmpl w:val="3A72B428"/>
    <w:lvl w:ilvl="0" w:tplc="F84880CA">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5F406D5C"/>
    <w:multiLevelType w:val="hybridMultilevel"/>
    <w:tmpl w:val="45F8B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D35A53"/>
    <w:multiLevelType w:val="hybridMultilevel"/>
    <w:tmpl w:val="BC1C20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60112530"/>
    <w:multiLevelType w:val="hybridMultilevel"/>
    <w:tmpl w:val="B7D01D82"/>
    <w:lvl w:ilvl="0" w:tplc="A0A45D38">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C7C8B"/>
    <w:multiLevelType w:val="hybridMultilevel"/>
    <w:tmpl w:val="49825CE8"/>
    <w:lvl w:ilvl="0" w:tplc="33083EF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15:restartNumberingAfterBreak="0">
    <w:nsid w:val="614601E8"/>
    <w:multiLevelType w:val="hybridMultilevel"/>
    <w:tmpl w:val="91F62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B21216"/>
    <w:multiLevelType w:val="hybridMultilevel"/>
    <w:tmpl w:val="18F0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D177B"/>
    <w:multiLevelType w:val="hybridMultilevel"/>
    <w:tmpl w:val="12AC950E"/>
    <w:lvl w:ilvl="0" w:tplc="2F8EAFD6">
      <w:numFmt w:val="bullet"/>
      <w:lvlText w:val="-"/>
      <w:lvlJc w:val="left"/>
      <w:pPr>
        <w:ind w:left="720" w:hanging="360"/>
      </w:pPr>
      <w:rPr>
        <w:rFonts w:ascii="Bookman Old Style" w:eastAsia="Times New Roman" w:hAnsi="Bookman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675B0"/>
    <w:multiLevelType w:val="multilevel"/>
    <w:tmpl w:val="4D7028DC"/>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15:restartNumberingAfterBreak="0">
    <w:nsid w:val="67BA0BF0"/>
    <w:multiLevelType w:val="hybridMultilevel"/>
    <w:tmpl w:val="A7A28978"/>
    <w:lvl w:ilvl="0" w:tplc="2F8EAFD6">
      <w:numFmt w:val="bullet"/>
      <w:lvlText w:val="-"/>
      <w:lvlJc w:val="left"/>
      <w:pPr>
        <w:ind w:left="1080" w:hanging="360"/>
      </w:pPr>
      <w:rPr>
        <w:rFonts w:ascii="Bookman Old Style" w:eastAsia="Times New Roman" w:hAnsi="Bookman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767612"/>
    <w:multiLevelType w:val="hybridMultilevel"/>
    <w:tmpl w:val="ACD4D4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D7A3617"/>
    <w:multiLevelType w:val="multilevel"/>
    <w:tmpl w:val="99749186"/>
    <w:lvl w:ilvl="0">
      <w:start w:val="6"/>
      <w:numFmt w:val="decimal"/>
      <w:lvlText w:val="%1"/>
      <w:lvlJc w:val="left"/>
      <w:pPr>
        <w:ind w:left="360" w:hanging="360"/>
      </w:pPr>
      <w:rPr>
        <w:rFonts w:cs="Times New Roman" w:hint="default"/>
        <w:b/>
      </w:rPr>
    </w:lvl>
    <w:lvl w:ilvl="1">
      <w:start w:val="3"/>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38" w15:restartNumberingAfterBreak="0">
    <w:nsid w:val="6FB122E3"/>
    <w:multiLevelType w:val="hybridMultilevel"/>
    <w:tmpl w:val="DF3807EE"/>
    <w:lvl w:ilvl="0" w:tplc="6002C88A">
      <w:start w:val="8"/>
      <w:numFmt w:val="bullet"/>
      <w:lvlText w:val="-"/>
      <w:lvlJc w:val="left"/>
      <w:pPr>
        <w:ind w:left="720" w:hanging="360"/>
      </w:pPr>
      <w:rPr>
        <w:rFonts w:ascii="Bookman Old Style" w:eastAsia="Times New Roman" w:hAnsi="Bookman Old Sty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E5378"/>
    <w:multiLevelType w:val="hybridMultilevel"/>
    <w:tmpl w:val="DD5EDD24"/>
    <w:lvl w:ilvl="0" w:tplc="0AAA72B4">
      <w:start w:val="16"/>
      <w:numFmt w:val="bullet"/>
      <w:lvlText w:val="-"/>
      <w:lvlJc w:val="left"/>
      <w:pPr>
        <w:ind w:left="39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DB38B7"/>
    <w:multiLevelType w:val="hybridMultilevel"/>
    <w:tmpl w:val="9F5E4C6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2697F1D"/>
    <w:multiLevelType w:val="hybridMultilevel"/>
    <w:tmpl w:val="BC00E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6A855D1"/>
    <w:multiLevelType w:val="multilevel"/>
    <w:tmpl w:val="511E5EBC"/>
    <w:lvl w:ilvl="0">
      <w:start w:val="1"/>
      <w:numFmt w:val="decimal"/>
      <w:lvlText w:val="%1."/>
      <w:lvlJc w:val="left"/>
      <w:pPr>
        <w:ind w:left="63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3" w15:restartNumberingAfterBreak="0">
    <w:nsid w:val="79D23F4E"/>
    <w:multiLevelType w:val="hybridMultilevel"/>
    <w:tmpl w:val="B7D01D82"/>
    <w:lvl w:ilvl="0" w:tplc="A0A45D38">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A5F41"/>
    <w:multiLevelType w:val="hybridMultilevel"/>
    <w:tmpl w:val="DDA81DF4"/>
    <w:lvl w:ilvl="0" w:tplc="D1D44BA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7C4525C6"/>
    <w:multiLevelType w:val="hybridMultilevel"/>
    <w:tmpl w:val="288A9B7A"/>
    <w:lvl w:ilvl="0" w:tplc="420C1138">
      <w:start w:val="1"/>
      <w:numFmt w:val="bullet"/>
      <w:lvlText w:val=""/>
      <w:lvlJc w:val="left"/>
      <w:pPr>
        <w:tabs>
          <w:tab w:val="num" w:pos="720"/>
        </w:tabs>
        <w:ind w:left="720" w:hanging="360"/>
      </w:pPr>
      <w:rPr>
        <w:rFonts w:ascii="Wingdings" w:hAnsi="Wingdings" w:hint="default"/>
      </w:rPr>
    </w:lvl>
    <w:lvl w:ilvl="1" w:tplc="1338D30A">
      <w:start w:val="834"/>
      <w:numFmt w:val="bullet"/>
      <w:lvlText w:val=""/>
      <w:lvlJc w:val="left"/>
      <w:pPr>
        <w:tabs>
          <w:tab w:val="num" w:pos="1440"/>
        </w:tabs>
        <w:ind w:left="1440" w:hanging="360"/>
      </w:pPr>
      <w:rPr>
        <w:rFonts w:ascii="Wingdings 2" w:hAnsi="Wingdings 2" w:hint="default"/>
      </w:rPr>
    </w:lvl>
    <w:lvl w:ilvl="2" w:tplc="D76021FA" w:tentative="1">
      <w:start w:val="1"/>
      <w:numFmt w:val="bullet"/>
      <w:lvlText w:val=""/>
      <w:lvlJc w:val="left"/>
      <w:pPr>
        <w:tabs>
          <w:tab w:val="num" w:pos="2160"/>
        </w:tabs>
        <w:ind w:left="2160" w:hanging="360"/>
      </w:pPr>
      <w:rPr>
        <w:rFonts w:ascii="Wingdings" w:hAnsi="Wingdings" w:hint="default"/>
      </w:rPr>
    </w:lvl>
    <w:lvl w:ilvl="3" w:tplc="CD804AD8" w:tentative="1">
      <w:start w:val="1"/>
      <w:numFmt w:val="bullet"/>
      <w:lvlText w:val=""/>
      <w:lvlJc w:val="left"/>
      <w:pPr>
        <w:tabs>
          <w:tab w:val="num" w:pos="2880"/>
        </w:tabs>
        <w:ind w:left="2880" w:hanging="360"/>
      </w:pPr>
      <w:rPr>
        <w:rFonts w:ascii="Wingdings" w:hAnsi="Wingdings" w:hint="default"/>
      </w:rPr>
    </w:lvl>
    <w:lvl w:ilvl="4" w:tplc="9AD4531E" w:tentative="1">
      <w:start w:val="1"/>
      <w:numFmt w:val="bullet"/>
      <w:lvlText w:val=""/>
      <w:lvlJc w:val="left"/>
      <w:pPr>
        <w:tabs>
          <w:tab w:val="num" w:pos="3600"/>
        </w:tabs>
        <w:ind w:left="3600" w:hanging="360"/>
      </w:pPr>
      <w:rPr>
        <w:rFonts w:ascii="Wingdings" w:hAnsi="Wingdings" w:hint="default"/>
      </w:rPr>
    </w:lvl>
    <w:lvl w:ilvl="5" w:tplc="39E69E8A" w:tentative="1">
      <w:start w:val="1"/>
      <w:numFmt w:val="bullet"/>
      <w:lvlText w:val=""/>
      <w:lvlJc w:val="left"/>
      <w:pPr>
        <w:tabs>
          <w:tab w:val="num" w:pos="4320"/>
        </w:tabs>
        <w:ind w:left="4320" w:hanging="360"/>
      </w:pPr>
      <w:rPr>
        <w:rFonts w:ascii="Wingdings" w:hAnsi="Wingdings" w:hint="default"/>
      </w:rPr>
    </w:lvl>
    <w:lvl w:ilvl="6" w:tplc="BF743C34" w:tentative="1">
      <w:start w:val="1"/>
      <w:numFmt w:val="bullet"/>
      <w:lvlText w:val=""/>
      <w:lvlJc w:val="left"/>
      <w:pPr>
        <w:tabs>
          <w:tab w:val="num" w:pos="5040"/>
        </w:tabs>
        <w:ind w:left="5040" w:hanging="360"/>
      </w:pPr>
      <w:rPr>
        <w:rFonts w:ascii="Wingdings" w:hAnsi="Wingdings" w:hint="default"/>
      </w:rPr>
    </w:lvl>
    <w:lvl w:ilvl="7" w:tplc="1EE8064A" w:tentative="1">
      <w:start w:val="1"/>
      <w:numFmt w:val="bullet"/>
      <w:lvlText w:val=""/>
      <w:lvlJc w:val="left"/>
      <w:pPr>
        <w:tabs>
          <w:tab w:val="num" w:pos="5760"/>
        </w:tabs>
        <w:ind w:left="5760" w:hanging="360"/>
      </w:pPr>
      <w:rPr>
        <w:rFonts w:ascii="Wingdings" w:hAnsi="Wingdings" w:hint="default"/>
      </w:rPr>
    </w:lvl>
    <w:lvl w:ilvl="8" w:tplc="8A44CB2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9122DD"/>
    <w:multiLevelType w:val="hybridMultilevel"/>
    <w:tmpl w:val="B31E2C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FA37379"/>
    <w:multiLevelType w:val="hybridMultilevel"/>
    <w:tmpl w:val="E1728F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18"/>
  </w:num>
  <w:num w:numId="3">
    <w:abstractNumId w:val="32"/>
  </w:num>
  <w:num w:numId="4">
    <w:abstractNumId w:val="23"/>
  </w:num>
  <w:num w:numId="5">
    <w:abstractNumId w:val="31"/>
  </w:num>
  <w:num w:numId="6">
    <w:abstractNumId w:val="11"/>
  </w:num>
  <w:num w:numId="7">
    <w:abstractNumId w:val="12"/>
  </w:num>
  <w:num w:numId="8">
    <w:abstractNumId w:val="1"/>
  </w:num>
  <w:num w:numId="9">
    <w:abstractNumId w:val="25"/>
  </w:num>
  <w:num w:numId="10">
    <w:abstractNumId w:val="7"/>
  </w:num>
  <w:num w:numId="11">
    <w:abstractNumId w:val="5"/>
  </w:num>
  <w:num w:numId="12">
    <w:abstractNumId w:val="30"/>
  </w:num>
  <w:num w:numId="13">
    <w:abstractNumId w:val="27"/>
  </w:num>
  <w:num w:numId="14">
    <w:abstractNumId w:val="24"/>
  </w:num>
  <w:num w:numId="15">
    <w:abstractNumId w:val="34"/>
  </w:num>
  <w:num w:numId="16">
    <w:abstractNumId w:val="39"/>
  </w:num>
  <w:num w:numId="17">
    <w:abstractNumId w:val="44"/>
  </w:num>
  <w:num w:numId="18">
    <w:abstractNumId w:val="3"/>
  </w:num>
  <w:num w:numId="19">
    <w:abstractNumId w:val="46"/>
  </w:num>
  <w:num w:numId="20">
    <w:abstractNumId w:val="17"/>
  </w:num>
  <w:num w:numId="21">
    <w:abstractNumId w:val="45"/>
  </w:num>
  <w:num w:numId="22">
    <w:abstractNumId w:val="9"/>
  </w:num>
  <w:num w:numId="23">
    <w:abstractNumId w:val="0"/>
  </w:num>
  <w:num w:numId="24">
    <w:abstractNumId w:val="40"/>
  </w:num>
  <w:num w:numId="25">
    <w:abstractNumId w:val="22"/>
  </w:num>
  <w:num w:numId="26">
    <w:abstractNumId w:val="15"/>
  </w:num>
  <w:num w:numId="27">
    <w:abstractNumId w:val="8"/>
  </w:num>
  <w:num w:numId="28">
    <w:abstractNumId w:val="4"/>
  </w:num>
  <w:num w:numId="29">
    <w:abstractNumId w:val="36"/>
  </w:num>
  <w:num w:numId="30">
    <w:abstractNumId w:val="28"/>
  </w:num>
  <w:num w:numId="31">
    <w:abstractNumId w:val="13"/>
  </w:num>
  <w:num w:numId="32">
    <w:abstractNumId w:val="47"/>
  </w:num>
  <w:num w:numId="33">
    <w:abstractNumId w:val="14"/>
  </w:num>
  <w:num w:numId="34">
    <w:abstractNumId w:val="20"/>
  </w:num>
  <w:num w:numId="35">
    <w:abstractNumId w:val="37"/>
  </w:num>
  <w:num w:numId="36">
    <w:abstractNumId w:val="43"/>
  </w:num>
  <w:num w:numId="37">
    <w:abstractNumId w:val="29"/>
  </w:num>
  <w:num w:numId="38">
    <w:abstractNumId w:val="6"/>
  </w:num>
  <w:num w:numId="39">
    <w:abstractNumId w:val="16"/>
  </w:num>
  <w:num w:numId="40">
    <w:abstractNumId w:val="41"/>
  </w:num>
  <w:num w:numId="41">
    <w:abstractNumId w:val="2"/>
  </w:num>
  <w:num w:numId="42">
    <w:abstractNumId w:val="21"/>
  </w:num>
  <w:num w:numId="43">
    <w:abstractNumId w:val="33"/>
  </w:num>
  <w:num w:numId="44">
    <w:abstractNumId w:val="35"/>
  </w:num>
  <w:num w:numId="45">
    <w:abstractNumId w:val="19"/>
  </w:num>
  <w:num w:numId="46">
    <w:abstractNumId w:val="38"/>
  </w:num>
  <w:num w:numId="47">
    <w:abstractNumId w:val="4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C4A"/>
    <w:rsid w:val="00000211"/>
    <w:rsid w:val="0000048A"/>
    <w:rsid w:val="000011C4"/>
    <w:rsid w:val="00001E0B"/>
    <w:rsid w:val="00002BDA"/>
    <w:rsid w:val="000043D2"/>
    <w:rsid w:val="000115D4"/>
    <w:rsid w:val="00012781"/>
    <w:rsid w:val="0002108F"/>
    <w:rsid w:val="00022EC2"/>
    <w:rsid w:val="000260D1"/>
    <w:rsid w:val="0003045A"/>
    <w:rsid w:val="0003474E"/>
    <w:rsid w:val="00034B19"/>
    <w:rsid w:val="00043EA1"/>
    <w:rsid w:val="00047B76"/>
    <w:rsid w:val="0005416B"/>
    <w:rsid w:val="0005437F"/>
    <w:rsid w:val="00054531"/>
    <w:rsid w:val="000642D2"/>
    <w:rsid w:val="00066E35"/>
    <w:rsid w:val="00073C64"/>
    <w:rsid w:val="000773F7"/>
    <w:rsid w:val="00082DB4"/>
    <w:rsid w:val="00083E7B"/>
    <w:rsid w:val="000858FF"/>
    <w:rsid w:val="00090AD2"/>
    <w:rsid w:val="0009779E"/>
    <w:rsid w:val="000A09C9"/>
    <w:rsid w:val="000A26D2"/>
    <w:rsid w:val="000B5512"/>
    <w:rsid w:val="000B5FB3"/>
    <w:rsid w:val="000C086F"/>
    <w:rsid w:val="000C2A32"/>
    <w:rsid w:val="000C345A"/>
    <w:rsid w:val="000C541F"/>
    <w:rsid w:val="000C6587"/>
    <w:rsid w:val="000D018B"/>
    <w:rsid w:val="000E5859"/>
    <w:rsid w:val="000E5A56"/>
    <w:rsid w:val="000E6EAE"/>
    <w:rsid w:val="000F2CA4"/>
    <w:rsid w:val="001007EA"/>
    <w:rsid w:val="00102D5C"/>
    <w:rsid w:val="00110AAA"/>
    <w:rsid w:val="001115D8"/>
    <w:rsid w:val="001152DB"/>
    <w:rsid w:val="00123BE5"/>
    <w:rsid w:val="00124624"/>
    <w:rsid w:val="001250C9"/>
    <w:rsid w:val="001260EE"/>
    <w:rsid w:val="00127004"/>
    <w:rsid w:val="001276C1"/>
    <w:rsid w:val="00133010"/>
    <w:rsid w:val="001379F3"/>
    <w:rsid w:val="00137A5C"/>
    <w:rsid w:val="001411C5"/>
    <w:rsid w:val="001479DF"/>
    <w:rsid w:val="001521E9"/>
    <w:rsid w:val="0015324F"/>
    <w:rsid w:val="00155F6A"/>
    <w:rsid w:val="001621F4"/>
    <w:rsid w:val="00167A9B"/>
    <w:rsid w:val="00170987"/>
    <w:rsid w:val="00191478"/>
    <w:rsid w:val="0019306B"/>
    <w:rsid w:val="001A30B7"/>
    <w:rsid w:val="001A6FD5"/>
    <w:rsid w:val="001B0026"/>
    <w:rsid w:val="001B5610"/>
    <w:rsid w:val="001B7A63"/>
    <w:rsid w:val="001C06B2"/>
    <w:rsid w:val="001C2AC2"/>
    <w:rsid w:val="001C3438"/>
    <w:rsid w:val="001D6B98"/>
    <w:rsid w:val="001E7947"/>
    <w:rsid w:val="001E7B14"/>
    <w:rsid w:val="001F3567"/>
    <w:rsid w:val="001F5E61"/>
    <w:rsid w:val="001F6474"/>
    <w:rsid w:val="001F694B"/>
    <w:rsid w:val="00201EDB"/>
    <w:rsid w:val="00207403"/>
    <w:rsid w:val="00207574"/>
    <w:rsid w:val="00216016"/>
    <w:rsid w:val="00217F89"/>
    <w:rsid w:val="00225BA7"/>
    <w:rsid w:val="002332E0"/>
    <w:rsid w:val="00241970"/>
    <w:rsid w:val="00247FE7"/>
    <w:rsid w:val="00253135"/>
    <w:rsid w:val="0025397F"/>
    <w:rsid w:val="0025455D"/>
    <w:rsid w:val="0025626B"/>
    <w:rsid w:val="00261867"/>
    <w:rsid w:val="00264AB5"/>
    <w:rsid w:val="002654E8"/>
    <w:rsid w:val="00275EC4"/>
    <w:rsid w:val="002853A8"/>
    <w:rsid w:val="00292BA1"/>
    <w:rsid w:val="00294DF0"/>
    <w:rsid w:val="00296040"/>
    <w:rsid w:val="002A18C5"/>
    <w:rsid w:val="002A25DF"/>
    <w:rsid w:val="002A25E5"/>
    <w:rsid w:val="002A3170"/>
    <w:rsid w:val="002A5EF3"/>
    <w:rsid w:val="002B333C"/>
    <w:rsid w:val="002B3AE1"/>
    <w:rsid w:val="002B4DDB"/>
    <w:rsid w:val="002C0554"/>
    <w:rsid w:val="002C1ADF"/>
    <w:rsid w:val="002F7033"/>
    <w:rsid w:val="00305E76"/>
    <w:rsid w:val="0031204B"/>
    <w:rsid w:val="00312106"/>
    <w:rsid w:val="00312E8E"/>
    <w:rsid w:val="00322FB9"/>
    <w:rsid w:val="00325B7F"/>
    <w:rsid w:val="00337A92"/>
    <w:rsid w:val="003419DF"/>
    <w:rsid w:val="00341B68"/>
    <w:rsid w:val="0034537C"/>
    <w:rsid w:val="00345D06"/>
    <w:rsid w:val="00352EA9"/>
    <w:rsid w:val="003549D3"/>
    <w:rsid w:val="0036572D"/>
    <w:rsid w:val="00372583"/>
    <w:rsid w:val="003725B6"/>
    <w:rsid w:val="00387594"/>
    <w:rsid w:val="00387F6E"/>
    <w:rsid w:val="00390ABE"/>
    <w:rsid w:val="00393419"/>
    <w:rsid w:val="00395E27"/>
    <w:rsid w:val="00395E88"/>
    <w:rsid w:val="003966BC"/>
    <w:rsid w:val="003A08D3"/>
    <w:rsid w:val="003A5200"/>
    <w:rsid w:val="003A54C9"/>
    <w:rsid w:val="003B0606"/>
    <w:rsid w:val="003B1B0E"/>
    <w:rsid w:val="003B365E"/>
    <w:rsid w:val="003B7DE3"/>
    <w:rsid w:val="003C0A85"/>
    <w:rsid w:val="003D1A7D"/>
    <w:rsid w:val="003E186D"/>
    <w:rsid w:val="003E1A04"/>
    <w:rsid w:val="003E4227"/>
    <w:rsid w:val="003E4344"/>
    <w:rsid w:val="003E5EE0"/>
    <w:rsid w:val="003E6590"/>
    <w:rsid w:val="003F0BF5"/>
    <w:rsid w:val="003F3152"/>
    <w:rsid w:val="003F669E"/>
    <w:rsid w:val="00400C3D"/>
    <w:rsid w:val="00404719"/>
    <w:rsid w:val="00405FE8"/>
    <w:rsid w:val="00407F0E"/>
    <w:rsid w:val="00415BD6"/>
    <w:rsid w:val="0041653B"/>
    <w:rsid w:val="004212EF"/>
    <w:rsid w:val="004222BB"/>
    <w:rsid w:val="00423F1F"/>
    <w:rsid w:val="004260A8"/>
    <w:rsid w:val="00436992"/>
    <w:rsid w:val="00445427"/>
    <w:rsid w:val="00445A5A"/>
    <w:rsid w:val="004610F0"/>
    <w:rsid w:val="00461DD4"/>
    <w:rsid w:val="00467970"/>
    <w:rsid w:val="00472641"/>
    <w:rsid w:val="00481EA1"/>
    <w:rsid w:val="0049700E"/>
    <w:rsid w:val="00497D5D"/>
    <w:rsid w:val="004A08C5"/>
    <w:rsid w:val="004A12B3"/>
    <w:rsid w:val="004A32C3"/>
    <w:rsid w:val="004A6164"/>
    <w:rsid w:val="004B084F"/>
    <w:rsid w:val="004B2717"/>
    <w:rsid w:val="004B3159"/>
    <w:rsid w:val="004C0CF5"/>
    <w:rsid w:val="004D0BB9"/>
    <w:rsid w:val="004D3390"/>
    <w:rsid w:val="004E0211"/>
    <w:rsid w:val="004E1FB5"/>
    <w:rsid w:val="004E5A85"/>
    <w:rsid w:val="004F5CDA"/>
    <w:rsid w:val="004F77D9"/>
    <w:rsid w:val="00503466"/>
    <w:rsid w:val="00503530"/>
    <w:rsid w:val="0051104F"/>
    <w:rsid w:val="005127BC"/>
    <w:rsid w:val="00516C73"/>
    <w:rsid w:val="00517C8E"/>
    <w:rsid w:val="005204BB"/>
    <w:rsid w:val="005211E3"/>
    <w:rsid w:val="005249B2"/>
    <w:rsid w:val="00525ECA"/>
    <w:rsid w:val="0053002B"/>
    <w:rsid w:val="005362A5"/>
    <w:rsid w:val="00546390"/>
    <w:rsid w:val="00547349"/>
    <w:rsid w:val="00550C28"/>
    <w:rsid w:val="00554CA5"/>
    <w:rsid w:val="00555F00"/>
    <w:rsid w:val="005576F3"/>
    <w:rsid w:val="00557E43"/>
    <w:rsid w:val="005646C1"/>
    <w:rsid w:val="00570800"/>
    <w:rsid w:val="00582111"/>
    <w:rsid w:val="00582771"/>
    <w:rsid w:val="00585BB8"/>
    <w:rsid w:val="00586E7F"/>
    <w:rsid w:val="005878C9"/>
    <w:rsid w:val="005935C8"/>
    <w:rsid w:val="00596E24"/>
    <w:rsid w:val="005B00CE"/>
    <w:rsid w:val="005B2D47"/>
    <w:rsid w:val="005B73F1"/>
    <w:rsid w:val="005B7E39"/>
    <w:rsid w:val="005C19A4"/>
    <w:rsid w:val="005C5095"/>
    <w:rsid w:val="005C5B72"/>
    <w:rsid w:val="005C62C2"/>
    <w:rsid w:val="005D45EA"/>
    <w:rsid w:val="005D5B22"/>
    <w:rsid w:val="005D68B3"/>
    <w:rsid w:val="005D7976"/>
    <w:rsid w:val="005E0043"/>
    <w:rsid w:val="005E0ED4"/>
    <w:rsid w:val="005E20D9"/>
    <w:rsid w:val="005E2F55"/>
    <w:rsid w:val="005E4A6A"/>
    <w:rsid w:val="005E5250"/>
    <w:rsid w:val="005E6FB8"/>
    <w:rsid w:val="005F031A"/>
    <w:rsid w:val="005F17FF"/>
    <w:rsid w:val="005F2B19"/>
    <w:rsid w:val="005F4400"/>
    <w:rsid w:val="005F57B4"/>
    <w:rsid w:val="00600E65"/>
    <w:rsid w:val="00601925"/>
    <w:rsid w:val="00603A33"/>
    <w:rsid w:val="00603E48"/>
    <w:rsid w:val="006077CB"/>
    <w:rsid w:val="00610351"/>
    <w:rsid w:val="0061348B"/>
    <w:rsid w:val="00620899"/>
    <w:rsid w:val="0062169E"/>
    <w:rsid w:val="00625ECD"/>
    <w:rsid w:val="00626E09"/>
    <w:rsid w:val="00631ADF"/>
    <w:rsid w:val="00634D08"/>
    <w:rsid w:val="00634EB8"/>
    <w:rsid w:val="00637A66"/>
    <w:rsid w:val="0064681F"/>
    <w:rsid w:val="0065039C"/>
    <w:rsid w:val="0065345A"/>
    <w:rsid w:val="00666FE8"/>
    <w:rsid w:val="0066730E"/>
    <w:rsid w:val="00682C56"/>
    <w:rsid w:val="006872F1"/>
    <w:rsid w:val="00691C9B"/>
    <w:rsid w:val="00692C88"/>
    <w:rsid w:val="00695EC1"/>
    <w:rsid w:val="00696490"/>
    <w:rsid w:val="006A313D"/>
    <w:rsid w:val="006D0F5E"/>
    <w:rsid w:val="006D7B22"/>
    <w:rsid w:val="006F1E80"/>
    <w:rsid w:val="006F2CE1"/>
    <w:rsid w:val="006F6231"/>
    <w:rsid w:val="006F778D"/>
    <w:rsid w:val="00706204"/>
    <w:rsid w:val="007111F4"/>
    <w:rsid w:val="007114A1"/>
    <w:rsid w:val="00711FEB"/>
    <w:rsid w:val="00712AA5"/>
    <w:rsid w:val="007257EA"/>
    <w:rsid w:val="00726C5B"/>
    <w:rsid w:val="00734AA6"/>
    <w:rsid w:val="007407F1"/>
    <w:rsid w:val="00740DA9"/>
    <w:rsid w:val="0074772F"/>
    <w:rsid w:val="007479CF"/>
    <w:rsid w:val="007513BA"/>
    <w:rsid w:val="007547C8"/>
    <w:rsid w:val="00756AE4"/>
    <w:rsid w:val="00760C92"/>
    <w:rsid w:val="00762386"/>
    <w:rsid w:val="007676F5"/>
    <w:rsid w:val="00772DAF"/>
    <w:rsid w:val="00772F2C"/>
    <w:rsid w:val="00775161"/>
    <w:rsid w:val="00786722"/>
    <w:rsid w:val="00787481"/>
    <w:rsid w:val="0078767E"/>
    <w:rsid w:val="00790210"/>
    <w:rsid w:val="00797657"/>
    <w:rsid w:val="007A0B83"/>
    <w:rsid w:val="007A0C3F"/>
    <w:rsid w:val="007B0073"/>
    <w:rsid w:val="007B20A0"/>
    <w:rsid w:val="007B34A0"/>
    <w:rsid w:val="007C5DB1"/>
    <w:rsid w:val="007C753F"/>
    <w:rsid w:val="007D5682"/>
    <w:rsid w:val="007D5E90"/>
    <w:rsid w:val="007D6FF1"/>
    <w:rsid w:val="007E0F95"/>
    <w:rsid w:val="007E74DD"/>
    <w:rsid w:val="007F0901"/>
    <w:rsid w:val="007F48C4"/>
    <w:rsid w:val="00800541"/>
    <w:rsid w:val="008038B3"/>
    <w:rsid w:val="00810A9A"/>
    <w:rsid w:val="00816152"/>
    <w:rsid w:val="00816CC6"/>
    <w:rsid w:val="008317C1"/>
    <w:rsid w:val="00836532"/>
    <w:rsid w:val="008405EE"/>
    <w:rsid w:val="0084471E"/>
    <w:rsid w:val="008567EF"/>
    <w:rsid w:val="008573ED"/>
    <w:rsid w:val="0086485D"/>
    <w:rsid w:val="008726D4"/>
    <w:rsid w:val="00874B91"/>
    <w:rsid w:val="008819DC"/>
    <w:rsid w:val="00884336"/>
    <w:rsid w:val="00890D3B"/>
    <w:rsid w:val="008920BB"/>
    <w:rsid w:val="0089271A"/>
    <w:rsid w:val="00895548"/>
    <w:rsid w:val="00895D3D"/>
    <w:rsid w:val="00895D49"/>
    <w:rsid w:val="008A0158"/>
    <w:rsid w:val="008A09C4"/>
    <w:rsid w:val="008A108C"/>
    <w:rsid w:val="008A32BF"/>
    <w:rsid w:val="008A3700"/>
    <w:rsid w:val="008A433C"/>
    <w:rsid w:val="008B2917"/>
    <w:rsid w:val="008C362E"/>
    <w:rsid w:val="008C4487"/>
    <w:rsid w:val="008C5533"/>
    <w:rsid w:val="008C6154"/>
    <w:rsid w:val="008C718C"/>
    <w:rsid w:val="008D6BDD"/>
    <w:rsid w:val="008E2072"/>
    <w:rsid w:val="008E30CD"/>
    <w:rsid w:val="008E4C41"/>
    <w:rsid w:val="008F6E6A"/>
    <w:rsid w:val="0090039C"/>
    <w:rsid w:val="009065C8"/>
    <w:rsid w:val="009079B1"/>
    <w:rsid w:val="00907DFC"/>
    <w:rsid w:val="00910280"/>
    <w:rsid w:val="009141BC"/>
    <w:rsid w:val="00914A01"/>
    <w:rsid w:val="0092577C"/>
    <w:rsid w:val="009352B9"/>
    <w:rsid w:val="00941F5D"/>
    <w:rsid w:val="00943506"/>
    <w:rsid w:val="00943E58"/>
    <w:rsid w:val="00943E72"/>
    <w:rsid w:val="00944CDD"/>
    <w:rsid w:val="00944E2F"/>
    <w:rsid w:val="00946D20"/>
    <w:rsid w:val="009553D9"/>
    <w:rsid w:val="0095735A"/>
    <w:rsid w:val="009577D0"/>
    <w:rsid w:val="00957C51"/>
    <w:rsid w:val="00967A83"/>
    <w:rsid w:val="00971A64"/>
    <w:rsid w:val="00977F17"/>
    <w:rsid w:val="00984C17"/>
    <w:rsid w:val="0098583E"/>
    <w:rsid w:val="00994CCE"/>
    <w:rsid w:val="0099507B"/>
    <w:rsid w:val="009962E3"/>
    <w:rsid w:val="009963CE"/>
    <w:rsid w:val="009A198E"/>
    <w:rsid w:val="009A31A3"/>
    <w:rsid w:val="009B1C06"/>
    <w:rsid w:val="009B2722"/>
    <w:rsid w:val="009B6288"/>
    <w:rsid w:val="009C0A1B"/>
    <w:rsid w:val="009C57E3"/>
    <w:rsid w:val="009C7686"/>
    <w:rsid w:val="009D57A3"/>
    <w:rsid w:val="009E48FC"/>
    <w:rsid w:val="009E77FA"/>
    <w:rsid w:val="009F0A3B"/>
    <w:rsid w:val="009F1FEA"/>
    <w:rsid w:val="009F3BFB"/>
    <w:rsid w:val="009F42DA"/>
    <w:rsid w:val="009F5786"/>
    <w:rsid w:val="00A044EE"/>
    <w:rsid w:val="00A1438A"/>
    <w:rsid w:val="00A21908"/>
    <w:rsid w:val="00A23D81"/>
    <w:rsid w:val="00A403B0"/>
    <w:rsid w:val="00A41AF2"/>
    <w:rsid w:val="00A548D2"/>
    <w:rsid w:val="00A5585E"/>
    <w:rsid w:val="00A56089"/>
    <w:rsid w:val="00A6331B"/>
    <w:rsid w:val="00A63AE8"/>
    <w:rsid w:val="00A65330"/>
    <w:rsid w:val="00A72570"/>
    <w:rsid w:val="00A76C0E"/>
    <w:rsid w:val="00A77731"/>
    <w:rsid w:val="00A87EB6"/>
    <w:rsid w:val="00A91186"/>
    <w:rsid w:val="00A93F06"/>
    <w:rsid w:val="00A947E6"/>
    <w:rsid w:val="00A94E0E"/>
    <w:rsid w:val="00AB7FC1"/>
    <w:rsid w:val="00AC0264"/>
    <w:rsid w:val="00AC02FE"/>
    <w:rsid w:val="00AC1814"/>
    <w:rsid w:val="00AC1A0C"/>
    <w:rsid w:val="00AC307F"/>
    <w:rsid w:val="00AD19AC"/>
    <w:rsid w:val="00AD2485"/>
    <w:rsid w:val="00AE16B9"/>
    <w:rsid w:val="00AE554C"/>
    <w:rsid w:val="00AF28AB"/>
    <w:rsid w:val="00AF6A90"/>
    <w:rsid w:val="00B17AE4"/>
    <w:rsid w:val="00B17B31"/>
    <w:rsid w:val="00B35630"/>
    <w:rsid w:val="00B4188B"/>
    <w:rsid w:val="00B50761"/>
    <w:rsid w:val="00B53068"/>
    <w:rsid w:val="00B5446E"/>
    <w:rsid w:val="00B54BD1"/>
    <w:rsid w:val="00B6458E"/>
    <w:rsid w:val="00B67D0A"/>
    <w:rsid w:val="00B70F64"/>
    <w:rsid w:val="00B7487D"/>
    <w:rsid w:val="00B77AE2"/>
    <w:rsid w:val="00B815D9"/>
    <w:rsid w:val="00B93AF9"/>
    <w:rsid w:val="00B946DF"/>
    <w:rsid w:val="00BB0213"/>
    <w:rsid w:val="00BB3A7B"/>
    <w:rsid w:val="00BB3C54"/>
    <w:rsid w:val="00BB5731"/>
    <w:rsid w:val="00BB6409"/>
    <w:rsid w:val="00BC32E1"/>
    <w:rsid w:val="00BD087A"/>
    <w:rsid w:val="00BD1F8D"/>
    <w:rsid w:val="00C01562"/>
    <w:rsid w:val="00C05BA5"/>
    <w:rsid w:val="00C066AE"/>
    <w:rsid w:val="00C06F8C"/>
    <w:rsid w:val="00C130D5"/>
    <w:rsid w:val="00C227C6"/>
    <w:rsid w:val="00C23112"/>
    <w:rsid w:val="00C26911"/>
    <w:rsid w:val="00C316E5"/>
    <w:rsid w:val="00C3349D"/>
    <w:rsid w:val="00C33FE8"/>
    <w:rsid w:val="00C342BB"/>
    <w:rsid w:val="00C36955"/>
    <w:rsid w:val="00C36DFA"/>
    <w:rsid w:val="00C40726"/>
    <w:rsid w:val="00C4194D"/>
    <w:rsid w:val="00C4226B"/>
    <w:rsid w:val="00C45FBA"/>
    <w:rsid w:val="00C562B6"/>
    <w:rsid w:val="00C56D50"/>
    <w:rsid w:val="00C63C4A"/>
    <w:rsid w:val="00C722C0"/>
    <w:rsid w:val="00C73AA1"/>
    <w:rsid w:val="00C74D75"/>
    <w:rsid w:val="00C87B1E"/>
    <w:rsid w:val="00C90D17"/>
    <w:rsid w:val="00C95732"/>
    <w:rsid w:val="00CA5A3A"/>
    <w:rsid w:val="00CA75CC"/>
    <w:rsid w:val="00CA77EB"/>
    <w:rsid w:val="00CB3EE1"/>
    <w:rsid w:val="00CB6690"/>
    <w:rsid w:val="00CC1EAF"/>
    <w:rsid w:val="00CC3017"/>
    <w:rsid w:val="00CC7972"/>
    <w:rsid w:val="00CD4BDA"/>
    <w:rsid w:val="00CD772B"/>
    <w:rsid w:val="00CE13B3"/>
    <w:rsid w:val="00CE4CA0"/>
    <w:rsid w:val="00CE7183"/>
    <w:rsid w:val="00CF2255"/>
    <w:rsid w:val="00CF31A0"/>
    <w:rsid w:val="00CF3236"/>
    <w:rsid w:val="00D04E7A"/>
    <w:rsid w:val="00D06235"/>
    <w:rsid w:val="00D1069F"/>
    <w:rsid w:val="00D22234"/>
    <w:rsid w:val="00D241CE"/>
    <w:rsid w:val="00D257D9"/>
    <w:rsid w:val="00D32502"/>
    <w:rsid w:val="00D32D26"/>
    <w:rsid w:val="00D4125B"/>
    <w:rsid w:val="00D57F40"/>
    <w:rsid w:val="00D662BE"/>
    <w:rsid w:val="00D66D5B"/>
    <w:rsid w:val="00D675C1"/>
    <w:rsid w:val="00D74774"/>
    <w:rsid w:val="00D74ACC"/>
    <w:rsid w:val="00D762CE"/>
    <w:rsid w:val="00D76983"/>
    <w:rsid w:val="00D854B2"/>
    <w:rsid w:val="00D92590"/>
    <w:rsid w:val="00D933FB"/>
    <w:rsid w:val="00D9478B"/>
    <w:rsid w:val="00D95265"/>
    <w:rsid w:val="00D97DC4"/>
    <w:rsid w:val="00DA1AD2"/>
    <w:rsid w:val="00DA2C9E"/>
    <w:rsid w:val="00DA6119"/>
    <w:rsid w:val="00DB0D1A"/>
    <w:rsid w:val="00DB2ADF"/>
    <w:rsid w:val="00DB54D6"/>
    <w:rsid w:val="00DB57F8"/>
    <w:rsid w:val="00DB6483"/>
    <w:rsid w:val="00DB6489"/>
    <w:rsid w:val="00DC0172"/>
    <w:rsid w:val="00DC0836"/>
    <w:rsid w:val="00DC3ED6"/>
    <w:rsid w:val="00DC769A"/>
    <w:rsid w:val="00DD0400"/>
    <w:rsid w:val="00DD2EFF"/>
    <w:rsid w:val="00DD31C5"/>
    <w:rsid w:val="00DD3AE0"/>
    <w:rsid w:val="00DD5EFD"/>
    <w:rsid w:val="00DE009E"/>
    <w:rsid w:val="00DE2A14"/>
    <w:rsid w:val="00DE3AD7"/>
    <w:rsid w:val="00DE6114"/>
    <w:rsid w:val="00DE7F10"/>
    <w:rsid w:val="00DF428C"/>
    <w:rsid w:val="00DF549A"/>
    <w:rsid w:val="00DF69D8"/>
    <w:rsid w:val="00E10802"/>
    <w:rsid w:val="00E1281D"/>
    <w:rsid w:val="00E12E2D"/>
    <w:rsid w:val="00E14740"/>
    <w:rsid w:val="00E24CF6"/>
    <w:rsid w:val="00E24EEE"/>
    <w:rsid w:val="00E31EDB"/>
    <w:rsid w:val="00E359B9"/>
    <w:rsid w:val="00E370B0"/>
    <w:rsid w:val="00E40757"/>
    <w:rsid w:val="00E45F86"/>
    <w:rsid w:val="00E46ACB"/>
    <w:rsid w:val="00E50F96"/>
    <w:rsid w:val="00E53222"/>
    <w:rsid w:val="00E56805"/>
    <w:rsid w:val="00E61E7C"/>
    <w:rsid w:val="00E646F4"/>
    <w:rsid w:val="00E7070A"/>
    <w:rsid w:val="00E710A0"/>
    <w:rsid w:val="00E7199E"/>
    <w:rsid w:val="00E77276"/>
    <w:rsid w:val="00E83CDE"/>
    <w:rsid w:val="00E86E5A"/>
    <w:rsid w:val="00E939AF"/>
    <w:rsid w:val="00E951B8"/>
    <w:rsid w:val="00E97964"/>
    <w:rsid w:val="00EA29F2"/>
    <w:rsid w:val="00EA3D19"/>
    <w:rsid w:val="00EA4711"/>
    <w:rsid w:val="00EA6185"/>
    <w:rsid w:val="00EB01A7"/>
    <w:rsid w:val="00EB1BAB"/>
    <w:rsid w:val="00EB3B85"/>
    <w:rsid w:val="00EB7701"/>
    <w:rsid w:val="00EC2ECA"/>
    <w:rsid w:val="00ED343B"/>
    <w:rsid w:val="00ED3D7F"/>
    <w:rsid w:val="00EE1B86"/>
    <w:rsid w:val="00EF0C31"/>
    <w:rsid w:val="00EF121D"/>
    <w:rsid w:val="00F12FE6"/>
    <w:rsid w:val="00F16F97"/>
    <w:rsid w:val="00F1766F"/>
    <w:rsid w:val="00F20642"/>
    <w:rsid w:val="00F2105B"/>
    <w:rsid w:val="00F25EB6"/>
    <w:rsid w:val="00F32595"/>
    <w:rsid w:val="00F33382"/>
    <w:rsid w:val="00F35DD0"/>
    <w:rsid w:val="00F374A2"/>
    <w:rsid w:val="00F40C85"/>
    <w:rsid w:val="00F4262A"/>
    <w:rsid w:val="00F45962"/>
    <w:rsid w:val="00F46BB5"/>
    <w:rsid w:val="00F5080B"/>
    <w:rsid w:val="00F55B64"/>
    <w:rsid w:val="00F6407E"/>
    <w:rsid w:val="00F64D0E"/>
    <w:rsid w:val="00F66295"/>
    <w:rsid w:val="00F75CFC"/>
    <w:rsid w:val="00F80B85"/>
    <w:rsid w:val="00F82AC0"/>
    <w:rsid w:val="00F83C08"/>
    <w:rsid w:val="00F87DE6"/>
    <w:rsid w:val="00F95293"/>
    <w:rsid w:val="00F96FCF"/>
    <w:rsid w:val="00FA2178"/>
    <w:rsid w:val="00FA3048"/>
    <w:rsid w:val="00FA59F8"/>
    <w:rsid w:val="00FB031F"/>
    <w:rsid w:val="00FB1B16"/>
    <w:rsid w:val="00FB45A6"/>
    <w:rsid w:val="00FB7898"/>
    <w:rsid w:val="00FC0397"/>
    <w:rsid w:val="00FC3F76"/>
    <w:rsid w:val="00FC5B45"/>
    <w:rsid w:val="00FD06DB"/>
    <w:rsid w:val="00FD1E30"/>
    <w:rsid w:val="00FD3C69"/>
    <w:rsid w:val="00FD465B"/>
    <w:rsid w:val="00FD522D"/>
    <w:rsid w:val="00FE3A45"/>
    <w:rsid w:val="00FE466D"/>
    <w:rsid w:val="00FE53D4"/>
    <w:rsid w:val="00FF02B4"/>
    <w:rsid w:val="00FF0C7F"/>
    <w:rsid w:val="00FF0C86"/>
    <w:rsid w:val="00FF4EA0"/>
    <w:rsid w:val="00FF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44"/>
    <o:shapelayout v:ext="edit">
      <o:idmap v:ext="edit" data="1"/>
    </o:shapelayout>
  </w:shapeDefaults>
  <w:decimalSymbol w:val=","/>
  <w:listSeparator w:val=";"/>
  <w15:docId w15:val="{436177C8-6748-4CD1-9BD9-6C6CF199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3B0"/>
    <w:pPr>
      <w:spacing w:after="200" w:line="276" w:lineRule="auto"/>
    </w:pPr>
    <w:rPr>
      <w:rFonts w:cs="Calibri"/>
      <w:lang w:val="en-GB"/>
    </w:rPr>
  </w:style>
  <w:style w:type="paragraph" w:styleId="Heading1">
    <w:name w:val="heading 1"/>
    <w:basedOn w:val="Normal"/>
    <w:next w:val="Normal"/>
    <w:link w:val="Heading1Char"/>
    <w:uiPriority w:val="99"/>
    <w:qFormat/>
    <w:rsid w:val="004222B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503530"/>
    <w:pPr>
      <w:spacing w:before="240" w:after="120" w:line="240" w:lineRule="auto"/>
      <w:jc w:val="center"/>
      <w:outlineLvl w:val="1"/>
    </w:pPr>
    <w:rPr>
      <w:rFonts w:ascii="Times New Roman" w:eastAsia="Times New Roman" w:hAnsi="Times New Roman" w:cs="Times New Roman"/>
      <w:sz w:val="36"/>
      <w:szCs w:val="36"/>
      <w:lang w:val="en-US"/>
    </w:rPr>
  </w:style>
  <w:style w:type="paragraph" w:styleId="Heading3">
    <w:name w:val="heading 3"/>
    <w:basedOn w:val="Normal"/>
    <w:next w:val="Normal"/>
    <w:link w:val="Heading3Char"/>
    <w:uiPriority w:val="99"/>
    <w:qFormat/>
    <w:rsid w:val="00503530"/>
    <w:pPr>
      <w:keepNext/>
      <w:keepLines/>
      <w:spacing w:before="200" w:after="0"/>
      <w:outlineLvl w:val="2"/>
    </w:pPr>
    <w:rPr>
      <w:rFonts w:ascii="Cambria" w:eastAsia="Times New Roman" w:hAnsi="Cambria" w:cs="Cambria"/>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22B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03530"/>
    <w:rPr>
      <w:rFonts w:ascii="Times New Roman" w:hAnsi="Times New Roman" w:cs="Times New Roman"/>
      <w:sz w:val="36"/>
      <w:szCs w:val="36"/>
      <w:lang w:val="en-US"/>
    </w:rPr>
  </w:style>
  <w:style w:type="character" w:customStyle="1" w:styleId="Heading3Char">
    <w:name w:val="Heading 3 Char"/>
    <w:basedOn w:val="DefaultParagraphFont"/>
    <w:link w:val="Heading3"/>
    <w:uiPriority w:val="99"/>
    <w:semiHidden/>
    <w:locked/>
    <w:rsid w:val="00503530"/>
    <w:rPr>
      <w:rFonts w:ascii="Cambria" w:hAnsi="Cambria" w:cs="Cambria"/>
      <w:b/>
      <w:bCs/>
      <w:color w:val="4F81BD"/>
      <w:lang w:val="en-US"/>
    </w:rPr>
  </w:style>
  <w:style w:type="paragraph" w:styleId="ListParagraph">
    <w:name w:val="List Paragraph"/>
    <w:basedOn w:val="Normal"/>
    <w:link w:val="ListParagraphChar"/>
    <w:uiPriority w:val="99"/>
    <w:qFormat/>
    <w:rsid w:val="00C63C4A"/>
    <w:pPr>
      <w:ind w:left="720"/>
    </w:pPr>
    <w:rPr>
      <w:rFonts w:eastAsia="Times New Roman" w:cs="Times New Roman"/>
      <w:sz w:val="20"/>
      <w:szCs w:val="20"/>
      <w:lang w:val="en-US"/>
    </w:rPr>
  </w:style>
  <w:style w:type="character" w:customStyle="1" w:styleId="ListParagraphChar">
    <w:name w:val="List Paragraph Char"/>
    <w:link w:val="ListParagraph"/>
    <w:uiPriority w:val="99"/>
    <w:locked/>
    <w:rsid w:val="00C63C4A"/>
    <w:rPr>
      <w:rFonts w:eastAsia="Times New Roman"/>
      <w:lang w:val="en-US"/>
    </w:rPr>
  </w:style>
  <w:style w:type="paragraph" w:styleId="BalloonText">
    <w:name w:val="Balloon Text"/>
    <w:basedOn w:val="Normal"/>
    <w:link w:val="BalloonTextChar"/>
    <w:uiPriority w:val="99"/>
    <w:semiHidden/>
    <w:rsid w:val="00325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B7F"/>
    <w:rPr>
      <w:rFonts w:ascii="Tahoma" w:hAnsi="Tahoma" w:cs="Tahoma"/>
      <w:sz w:val="16"/>
      <w:szCs w:val="16"/>
    </w:rPr>
  </w:style>
  <w:style w:type="paragraph" w:customStyle="1" w:styleId="Default">
    <w:name w:val="Default"/>
    <w:uiPriority w:val="99"/>
    <w:rsid w:val="00503530"/>
    <w:pPr>
      <w:autoSpaceDE w:val="0"/>
      <w:autoSpaceDN w:val="0"/>
      <w:adjustRightInd w:val="0"/>
    </w:pPr>
    <w:rPr>
      <w:rFonts w:ascii="Verdana" w:eastAsia="Times New Roman" w:hAnsi="Verdana" w:cs="Verdana"/>
      <w:color w:val="000000"/>
      <w:sz w:val="24"/>
      <w:szCs w:val="24"/>
    </w:rPr>
  </w:style>
  <w:style w:type="paragraph" w:styleId="NormalWeb">
    <w:name w:val="Normal (Web)"/>
    <w:basedOn w:val="Normal"/>
    <w:uiPriority w:val="99"/>
    <w:rsid w:val="005035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rsid w:val="00503530"/>
    <w:pPr>
      <w:spacing w:line="240" w:lineRule="auto"/>
    </w:pPr>
    <w:rPr>
      <w:rFonts w:eastAsia="Times New Roman"/>
      <w:sz w:val="20"/>
      <w:szCs w:val="20"/>
      <w:lang w:val="en-US"/>
    </w:rPr>
  </w:style>
  <w:style w:type="character" w:customStyle="1" w:styleId="CommentTextChar">
    <w:name w:val="Comment Text Char"/>
    <w:basedOn w:val="DefaultParagraphFont"/>
    <w:link w:val="CommentText"/>
    <w:uiPriority w:val="99"/>
    <w:locked/>
    <w:rsid w:val="00503530"/>
    <w:rPr>
      <w:rFonts w:eastAsia="Times New Roman" w:cs="Times New Roman"/>
      <w:sz w:val="20"/>
      <w:szCs w:val="20"/>
      <w:lang w:val="en-US"/>
    </w:rPr>
  </w:style>
  <w:style w:type="character" w:styleId="CommentReference">
    <w:name w:val="annotation reference"/>
    <w:basedOn w:val="DefaultParagraphFont"/>
    <w:uiPriority w:val="99"/>
    <w:semiHidden/>
    <w:rsid w:val="00503530"/>
    <w:rPr>
      <w:rFonts w:cs="Times New Roman"/>
      <w:sz w:val="16"/>
      <w:szCs w:val="16"/>
    </w:rPr>
  </w:style>
  <w:style w:type="table" w:styleId="TableGrid">
    <w:name w:val="Table Grid"/>
    <w:basedOn w:val="TableNormal"/>
    <w:uiPriority w:val="99"/>
    <w:rsid w:val="00550C2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4E5A8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E5A85"/>
    <w:rPr>
      <w:rFonts w:cs="Times New Roman"/>
      <w:sz w:val="20"/>
      <w:szCs w:val="20"/>
    </w:rPr>
  </w:style>
  <w:style w:type="character" w:styleId="EndnoteReference">
    <w:name w:val="endnote reference"/>
    <w:basedOn w:val="DefaultParagraphFont"/>
    <w:uiPriority w:val="99"/>
    <w:semiHidden/>
    <w:rsid w:val="004E5A85"/>
    <w:rPr>
      <w:rFonts w:cs="Times New Roman"/>
      <w:vertAlign w:val="superscript"/>
    </w:rPr>
  </w:style>
  <w:style w:type="paragraph" w:styleId="FootnoteText">
    <w:name w:val="footnote text"/>
    <w:basedOn w:val="Normal"/>
    <w:link w:val="FootnoteTextChar"/>
    <w:uiPriority w:val="99"/>
    <w:semiHidden/>
    <w:rsid w:val="005C5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C5095"/>
    <w:rPr>
      <w:rFonts w:cs="Times New Roman"/>
      <w:sz w:val="20"/>
      <w:szCs w:val="20"/>
    </w:rPr>
  </w:style>
  <w:style w:type="character" w:styleId="FootnoteReference">
    <w:name w:val="footnote reference"/>
    <w:basedOn w:val="DefaultParagraphFont"/>
    <w:uiPriority w:val="99"/>
    <w:rsid w:val="005C5095"/>
    <w:rPr>
      <w:rFonts w:cs="Times New Roman"/>
      <w:vertAlign w:val="superscript"/>
    </w:rPr>
  </w:style>
  <w:style w:type="paragraph" w:customStyle="1" w:styleId="Style1">
    <w:name w:val="Style1"/>
    <w:basedOn w:val="Normal"/>
    <w:uiPriority w:val="99"/>
    <w:rsid w:val="00DB57F8"/>
    <w:pPr>
      <w:widowControl w:val="0"/>
      <w:autoSpaceDE w:val="0"/>
      <w:autoSpaceDN w:val="0"/>
      <w:adjustRightInd w:val="0"/>
      <w:spacing w:after="0" w:line="310" w:lineRule="exact"/>
      <w:jc w:val="both"/>
    </w:pPr>
    <w:rPr>
      <w:rFonts w:ascii="Sylfaen" w:eastAsia="Times New Roman" w:hAnsi="Sylfaen" w:cs="Sylfaen"/>
      <w:sz w:val="24"/>
      <w:szCs w:val="24"/>
      <w:lang w:val="mk-MK" w:eastAsia="mk-MK"/>
    </w:rPr>
  </w:style>
  <w:style w:type="character" w:customStyle="1" w:styleId="FontStyle12">
    <w:name w:val="Font Style12"/>
    <w:basedOn w:val="DefaultParagraphFont"/>
    <w:uiPriority w:val="99"/>
    <w:rsid w:val="00DB57F8"/>
    <w:rPr>
      <w:rFonts w:ascii="Sylfaen" w:hAnsi="Sylfaen" w:cs="Sylfaen"/>
      <w:sz w:val="22"/>
      <w:szCs w:val="22"/>
    </w:rPr>
  </w:style>
  <w:style w:type="paragraph" w:customStyle="1" w:styleId="Style4">
    <w:name w:val="Style4"/>
    <w:basedOn w:val="Normal"/>
    <w:uiPriority w:val="99"/>
    <w:rsid w:val="00DB57F8"/>
    <w:pPr>
      <w:widowControl w:val="0"/>
      <w:autoSpaceDE w:val="0"/>
      <w:autoSpaceDN w:val="0"/>
      <w:adjustRightInd w:val="0"/>
      <w:spacing w:after="0" w:line="275" w:lineRule="exact"/>
      <w:ind w:firstLine="274"/>
      <w:jc w:val="both"/>
    </w:pPr>
    <w:rPr>
      <w:rFonts w:ascii="Tahoma" w:eastAsia="Times New Roman" w:hAnsi="Tahoma" w:cs="Tahoma"/>
      <w:sz w:val="24"/>
      <w:szCs w:val="24"/>
      <w:lang w:val="mk-MK" w:eastAsia="mk-MK"/>
    </w:rPr>
  </w:style>
  <w:style w:type="character" w:customStyle="1" w:styleId="FontStyle30">
    <w:name w:val="Font Style30"/>
    <w:basedOn w:val="DefaultParagraphFont"/>
    <w:uiPriority w:val="99"/>
    <w:rsid w:val="00DB57F8"/>
    <w:rPr>
      <w:rFonts w:ascii="Times New Roman" w:hAnsi="Times New Roman" w:cs="Times New Roman"/>
      <w:sz w:val="22"/>
      <w:szCs w:val="22"/>
    </w:rPr>
  </w:style>
  <w:style w:type="paragraph" w:styleId="NoSpacing">
    <w:name w:val="No Spacing"/>
    <w:link w:val="NoSpacingChar"/>
    <w:uiPriority w:val="99"/>
    <w:qFormat/>
    <w:rsid w:val="00DB57F8"/>
    <w:rPr>
      <w:rFonts w:cs="Calibri"/>
      <w:lang w:val="mk-MK"/>
    </w:rPr>
  </w:style>
  <w:style w:type="character" w:styleId="Hyperlink">
    <w:name w:val="Hyperlink"/>
    <w:basedOn w:val="DefaultParagraphFont"/>
    <w:uiPriority w:val="99"/>
    <w:rsid w:val="00DB57F8"/>
    <w:rPr>
      <w:rFonts w:cs="Times New Roman"/>
      <w:color w:val="0000FF"/>
      <w:u w:val="single"/>
    </w:rPr>
  </w:style>
  <w:style w:type="paragraph" w:styleId="Header">
    <w:name w:val="header"/>
    <w:basedOn w:val="Normal"/>
    <w:link w:val="HeaderChar"/>
    <w:uiPriority w:val="99"/>
    <w:rsid w:val="005878C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locked/>
    <w:rsid w:val="005878C9"/>
    <w:rPr>
      <w:rFonts w:ascii="Calibri" w:hAnsi="Calibri" w:cs="Calibri"/>
    </w:rPr>
  </w:style>
  <w:style w:type="paragraph" w:styleId="Footer">
    <w:name w:val="footer"/>
    <w:basedOn w:val="Normal"/>
    <w:link w:val="FooterChar"/>
    <w:uiPriority w:val="99"/>
    <w:rsid w:val="005878C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locked/>
    <w:rsid w:val="005878C9"/>
    <w:rPr>
      <w:rFonts w:ascii="Calibri" w:hAnsi="Calibri" w:cs="Calibri"/>
    </w:rPr>
  </w:style>
  <w:style w:type="character" w:styleId="Strong">
    <w:name w:val="Strong"/>
    <w:basedOn w:val="DefaultParagraphFont"/>
    <w:uiPriority w:val="99"/>
    <w:qFormat/>
    <w:locked/>
    <w:rsid w:val="005878C9"/>
    <w:rPr>
      <w:rFonts w:cs="Times New Roman"/>
      <w:b/>
      <w:bCs/>
    </w:rPr>
  </w:style>
  <w:style w:type="table" w:customStyle="1" w:styleId="TableGrid1">
    <w:name w:val="Table Grid1"/>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C334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CD772B"/>
    <w:rPr>
      <w:rFonts w:cs="Times New Roman"/>
    </w:rPr>
  </w:style>
  <w:style w:type="character" w:customStyle="1" w:styleId="FontStyle38">
    <w:name w:val="Font Style38"/>
    <w:uiPriority w:val="99"/>
    <w:rsid w:val="00BB0213"/>
    <w:rPr>
      <w:rFonts w:ascii="Arial" w:hAnsi="Arial"/>
      <w:sz w:val="18"/>
    </w:rPr>
  </w:style>
  <w:style w:type="character" w:customStyle="1" w:styleId="NoSpacingChar">
    <w:name w:val="No Spacing Char"/>
    <w:basedOn w:val="DefaultParagraphFont"/>
    <w:link w:val="NoSpacing"/>
    <w:uiPriority w:val="99"/>
    <w:locked/>
    <w:rsid w:val="009C0A1B"/>
    <w:rPr>
      <w:rFonts w:cs="Calibri"/>
      <w:sz w:val="22"/>
      <w:szCs w:val="22"/>
      <w:lang w:val="mk-MK" w:eastAsia="en-US" w:bidi="ar-SA"/>
    </w:rPr>
  </w:style>
  <w:style w:type="character" w:styleId="Emphasis">
    <w:name w:val="Emphasis"/>
    <w:basedOn w:val="DefaultParagraphFont"/>
    <w:uiPriority w:val="99"/>
    <w:qFormat/>
    <w:locked/>
    <w:rsid w:val="007F0901"/>
    <w:rPr>
      <w:rFonts w:cs="Times New Roman"/>
      <w:i/>
    </w:rPr>
  </w:style>
  <w:style w:type="paragraph" w:customStyle="1" w:styleId="Style14">
    <w:name w:val="Style14"/>
    <w:basedOn w:val="Normal"/>
    <w:uiPriority w:val="99"/>
    <w:rsid w:val="007F0901"/>
    <w:pPr>
      <w:widowControl w:val="0"/>
      <w:autoSpaceDE w:val="0"/>
      <w:autoSpaceDN w:val="0"/>
      <w:adjustRightInd w:val="0"/>
      <w:spacing w:after="0" w:line="230" w:lineRule="exact"/>
      <w:ind w:firstLine="725"/>
      <w:jc w:val="both"/>
    </w:pPr>
    <w:rPr>
      <w:rFonts w:ascii="Trebuchet MS" w:eastAsia="Times New Roman" w:hAnsi="Trebuchet MS" w:cs="Times New Roman"/>
      <w:sz w:val="24"/>
      <w:szCs w:val="24"/>
      <w:lang w:val="en-US"/>
    </w:rPr>
  </w:style>
  <w:style w:type="paragraph" w:customStyle="1" w:styleId="Style11">
    <w:name w:val="Style11"/>
    <w:basedOn w:val="Normal"/>
    <w:uiPriority w:val="99"/>
    <w:rsid w:val="007F0901"/>
    <w:pPr>
      <w:widowControl w:val="0"/>
      <w:autoSpaceDE w:val="0"/>
      <w:autoSpaceDN w:val="0"/>
      <w:adjustRightInd w:val="0"/>
      <w:spacing w:after="0" w:line="206" w:lineRule="exact"/>
    </w:pPr>
    <w:rPr>
      <w:rFonts w:ascii="Trebuchet MS" w:eastAsia="Times New Roman" w:hAnsi="Trebuchet MS" w:cs="Times New Roman"/>
      <w:sz w:val="24"/>
      <w:szCs w:val="24"/>
      <w:lang w:val="en-US"/>
    </w:rPr>
  </w:style>
  <w:style w:type="paragraph" w:customStyle="1" w:styleId="Style10">
    <w:name w:val="Style10"/>
    <w:basedOn w:val="Normal"/>
    <w:uiPriority w:val="99"/>
    <w:rsid w:val="007F0901"/>
    <w:pPr>
      <w:widowControl w:val="0"/>
      <w:autoSpaceDE w:val="0"/>
      <w:autoSpaceDN w:val="0"/>
      <w:adjustRightInd w:val="0"/>
      <w:spacing w:after="0" w:line="240" w:lineRule="auto"/>
    </w:pPr>
    <w:rPr>
      <w:rFonts w:ascii="Trebuchet MS" w:eastAsia="Times New Roman" w:hAnsi="Trebuchet MS" w:cs="Times New Roman"/>
      <w:sz w:val="24"/>
      <w:szCs w:val="24"/>
      <w:lang w:val="en-US"/>
    </w:rPr>
  </w:style>
  <w:style w:type="character" w:customStyle="1" w:styleId="FontStyle39">
    <w:name w:val="Font Style39"/>
    <w:uiPriority w:val="99"/>
    <w:rsid w:val="007F0901"/>
    <w:rPr>
      <w:rFonts w:ascii="Arial" w:hAnsi="Arial"/>
      <w:sz w:val="16"/>
    </w:rPr>
  </w:style>
  <w:style w:type="paragraph" w:customStyle="1" w:styleId="Style12">
    <w:name w:val="Style12"/>
    <w:basedOn w:val="Normal"/>
    <w:uiPriority w:val="99"/>
    <w:rsid w:val="007F0901"/>
    <w:pPr>
      <w:widowControl w:val="0"/>
      <w:autoSpaceDE w:val="0"/>
      <w:autoSpaceDN w:val="0"/>
      <w:adjustRightInd w:val="0"/>
      <w:spacing w:after="0" w:line="259" w:lineRule="exact"/>
      <w:ind w:hanging="720"/>
      <w:jc w:val="both"/>
    </w:pPr>
    <w:rPr>
      <w:rFonts w:ascii="Arial" w:eastAsia="Times New Roman" w:hAnsi="Arial" w:cs="Arial"/>
      <w:sz w:val="24"/>
      <w:szCs w:val="24"/>
      <w:lang w:val="en-US"/>
    </w:rPr>
  </w:style>
  <w:style w:type="character" w:customStyle="1" w:styleId="FontStyle32">
    <w:name w:val="Font Style32"/>
    <w:uiPriority w:val="99"/>
    <w:rsid w:val="007F0901"/>
    <w:rPr>
      <w:rFonts w:ascii="Arial" w:hAnsi="Arial"/>
      <w:sz w:val="20"/>
    </w:rPr>
  </w:style>
  <w:style w:type="character" w:customStyle="1" w:styleId="FontStyle33">
    <w:name w:val="Font Style33"/>
    <w:uiPriority w:val="99"/>
    <w:rsid w:val="007F0901"/>
    <w:rPr>
      <w:rFonts w:ascii="Arial" w:hAnsi="Arial"/>
      <w:sz w:val="18"/>
    </w:rPr>
  </w:style>
  <w:style w:type="character" w:customStyle="1" w:styleId="FontStyle31">
    <w:name w:val="Font Style31"/>
    <w:uiPriority w:val="99"/>
    <w:rsid w:val="007F0901"/>
    <w:rPr>
      <w:rFonts w:ascii="Arial" w:hAnsi="Arial"/>
      <w:i/>
      <w:sz w:val="20"/>
    </w:rPr>
  </w:style>
  <w:style w:type="character" w:customStyle="1" w:styleId="FontStyle20">
    <w:name w:val="Font Style20"/>
    <w:uiPriority w:val="99"/>
    <w:rsid w:val="007F0901"/>
    <w:rPr>
      <w:rFonts w:ascii="Arial" w:hAnsi="Arial"/>
      <w:sz w:val="16"/>
    </w:rPr>
  </w:style>
  <w:style w:type="character" w:customStyle="1" w:styleId="FontStyle23">
    <w:name w:val="Font Style23"/>
    <w:uiPriority w:val="99"/>
    <w:rsid w:val="007F090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86933">
      <w:marLeft w:val="0"/>
      <w:marRight w:val="0"/>
      <w:marTop w:val="0"/>
      <w:marBottom w:val="0"/>
      <w:divBdr>
        <w:top w:val="none" w:sz="0" w:space="0" w:color="auto"/>
        <w:left w:val="none" w:sz="0" w:space="0" w:color="auto"/>
        <w:bottom w:val="none" w:sz="0" w:space="0" w:color="auto"/>
        <w:right w:val="none" w:sz="0" w:space="0" w:color="auto"/>
      </w:divBdr>
    </w:div>
    <w:div w:id="924386934">
      <w:marLeft w:val="0"/>
      <w:marRight w:val="0"/>
      <w:marTop w:val="0"/>
      <w:marBottom w:val="0"/>
      <w:divBdr>
        <w:top w:val="none" w:sz="0" w:space="0" w:color="auto"/>
        <w:left w:val="none" w:sz="0" w:space="0" w:color="auto"/>
        <w:bottom w:val="none" w:sz="0" w:space="0" w:color="auto"/>
        <w:right w:val="none" w:sz="0" w:space="0" w:color="auto"/>
      </w:divBdr>
    </w:div>
    <w:div w:id="924386935">
      <w:marLeft w:val="0"/>
      <w:marRight w:val="0"/>
      <w:marTop w:val="0"/>
      <w:marBottom w:val="0"/>
      <w:divBdr>
        <w:top w:val="none" w:sz="0" w:space="0" w:color="auto"/>
        <w:left w:val="none" w:sz="0" w:space="0" w:color="auto"/>
        <w:bottom w:val="none" w:sz="0" w:space="0" w:color="auto"/>
        <w:right w:val="none" w:sz="0" w:space="0" w:color="auto"/>
      </w:divBdr>
    </w:div>
    <w:div w:id="924386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dn.thejournal.ie/media/2013/10/201310_october2013_vfinal.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classichits.ie/audio/david-harve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i.ie/wordpress/wp-content/uploads/Broadcasting-Act-2009.pdf" TargetMode="External"/><Relationship Id="rId5" Type="http://schemas.openxmlformats.org/officeDocument/2006/relationships/footnotes" Target="footnotes.xml"/><Relationship Id="rId15" Type="http://schemas.openxmlformats.org/officeDocument/2006/relationships/hyperlink" Target="http://ec.europa.eu/digital-agenda/list-eu-audiovisual-regulators" TargetMode="External"/><Relationship Id="rId10" Type="http://schemas.openxmlformats.org/officeDocument/2006/relationships/hyperlink" Target="http://ec.europa.eu/digital-agenda/list-eu-audiovisual-regulators" TargetMode="External"/><Relationship Id="rId4" Type="http://schemas.openxmlformats.org/officeDocument/2006/relationships/webSettings" Target="webSettings.xml"/><Relationship Id="rId9" Type="http://schemas.openxmlformats.org/officeDocument/2006/relationships/hyperlink" Target="http://ec.europa.eu/avpolicy/reg/tvwf/incit/index_en.htm" TargetMode="External"/><Relationship Id="rId14" Type="http://schemas.openxmlformats.org/officeDocument/2006/relationships/hyperlink" Target="http://static.rasset.ie/documents/news/bai.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ventions.coe.int/treaty/EN/treaties/html/189.htm" TargetMode="External"/><Relationship Id="rId13" Type="http://schemas.openxmlformats.org/officeDocument/2006/relationships/hyperlink" Target="http://stakeholders.ofcom.org.uk/binaries/broadcast/guidance/831193/section3.pdf" TargetMode="External"/><Relationship Id="rId18" Type="http://schemas.openxmlformats.org/officeDocument/2006/relationships/hyperlink" Target="http://www.csa.fr/Television/Le-suivi-des-programmes/La-deontologie-de-l-information-et-des-programmes/Images-de-guerre-au-Mali-le-CSA-met-en-garde-France-Televisions" TargetMode="External"/><Relationship Id="rId26" Type="http://schemas.openxmlformats.org/officeDocument/2006/relationships/hyperlink" Target="file:///C:/Documents%20and%20Settings/strpevska/My%20Documents/Downloads/20070410_COPS_GuidanceNotes_vFinal.pdf" TargetMode="External"/><Relationship Id="rId3" Type="http://schemas.openxmlformats.org/officeDocument/2006/relationships/hyperlink" Target="http://www.echr.coe.int/NR/rdonlyres/D5CC24A7-DC13-4318-B457-5C9014916D7A/0/ENG_CONV.pdf" TargetMode="External"/><Relationship Id="rId21" Type="http://schemas.openxmlformats.org/officeDocument/2006/relationships/hyperlink" Target="http://www.krrit.gov.pl/Data/Files/_public/Portals/0/angielska/Documents/Regulations/broadcasting_act_28022013.pdf" TargetMode="External"/><Relationship Id="rId7" Type="http://schemas.openxmlformats.org/officeDocument/2006/relationships/hyperlink" Target="https://wcd.coe.int/ViewDoc.jsp?id=1835645&amp;Site=CM&amp;BackColorInternet=C3C3C3&amp;BackColorIntranet=EDB021&amp;BackColorLogged=F5D383" TargetMode="External"/><Relationship Id="rId12" Type="http://schemas.openxmlformats.org/officeDocument/2006/relationships/hyperlink" Target="http://stakeholders.ofcom.org.uk/broadcasting/broadcast-codes/broadcast-code/" TargetMode="External"/><Relationship Id="rId17" Type="http://schemas.openxmlformats.org/officeDocument/2006/relationships/hyperlink" Target="http://www.csa.fr/en/Television/Le-suivi-des-programmes/La-deontologie-de-l-information-et-des-programmes/Chronique-dans-l-emission-La-Nouvelle-Edition-Canal-mise-en-garde" TargetMode="External"/><Relationship Id="rId25" Type="http://schemas.openxmlformats.org/officeDocument/2006/relationships/hyperlink" Target="file:///C:/Documents%20and%20Settings/strpevska/My%20Documents/Downloads/bci_cops_Mar07.pdf" TargetMode="External"/><Relationship Id="rId2" Type="http://schemas.openxmlformats.org/officeDocument/2006/relationships/hyperlink" Target="http://www.un.org/en/documents/udhr/index.shtml" TargetMode="External"/><Relationship Id="rId16" Type="http://schemas.openxmlformats.org/officeDocument/2006/relationships/hyperlink" Target="http://www.csa.fr/related%20to%20en/Television/Le-suivi-des-programmes/La-deontologie-de-l-information-et-des-programmes/Les-fondements-juridiques" TargetMode="External"/><Relationship Id="rId20" Type="http://schemas.openxmlformats.org/officeDocument/2006/relationships/hyperlink" Target="https://www.imolin.org/doc/amlid/Poland_Penal_Code1.pdf" TargetMode="External"/><Relationship Id="rId29" Type="http://schemas.openxmlformats.org/officeDocument/2006/relationships/hyperlink" Target="http://ec.europa.eu/digital-agenda/en/avmsd-audiovisual-regulators" TargetMode="External"/><Relationship Id="rId1" Type="http://schemas.openxmlformats.org/officeDocument/2006/relationships/hyperlink" Target="http://ec.europa.eu/digital-agenda/en/avmsd-audiovisual-regulators" TargetMode="External"/><Relationship Id="rId6" Type="http://schemas.openxmlformats.org/officeDocument/2006/relationships/hyperlink" Target="https://wcd.coe.int/ViewDoc.jsp?id=118995&amp;Site=CM" TargetMode="External"/><Relationship Id="rId11" Type="http://schemas.openxmlformats.org/officeDocument/2006/relationships/hyperlink" Target="http://www.article19.org/data/files/medialibrary/3548/ARTICLE-19-policy-on-prohibition-to-incitement.pdf" TargetMode="External"/><Relationship Id="rId24" Type="http://schemas.openxmlformats.org/officeDocument/2006/relationships/hyperlink" Target="http://rak.ba/bos/index.php?uid=1272548169" TargetMode="External"/><Relationship Id="rId5" Type="http://schemas.openxmlformats.org/officeDocument/2006/relationships/hyperlink" Target="http://www.coe.int/t/dghl/standardsetting/hrpolicy/other_committees/dh-lgbt_docs/CM_Rec(97)21_en.pdf" TargetMode="External"/><Relationship Id="rId15" Type="http://schemas.openxmlformats.org/officeDocument/2006/relationships/hyperlink" Target="http://legifrance.gouv.fr/affichTexte.do?cidTexte=JORFTEXT000000512205&amp;fastPos=1&amp;fastReqId=78965485&amp;categorieLien=cid&amp;oldAction=rechTexte" TargetMode="External"/><Relationship Id="rId23" Type="http://schemas.openxmlformats.org/officeDocument/2006/relationships/hyperlink" Target="http://rak.ba/eng/index.php?uid=1328108149" TargetMode="External"/><Relationship Id="rId28" Type="http://schemas.openxmlformats.org/officeDocument/2006/relationships/hyperlink" Target="http://www.bai.ie/wordpress/wp-content/uploads/CCECFDecisions_Sept2013_vFinal.pdf" TargetMode="External"/><Relationship Id="rId10" Type="http://schemas.openxmlformats.org/officeDocument/2006/relationships/hyperlink" Target="http://www.coe.int/t/dghl/standardsetting/hrpolicy/publications/hate_speech_en.pdf" TargetMode="External"/><Relationship Id="rId19" Type="http://schemas.openxmlformats.org/officeDocument/2006/relationships/hyperlink" Target="http://merlin.obs.coe.int/iris/2005/2/article21.en.html" TargetMode="External"/><Relationship Id="rId4" Type="http://schemas.openxmlformats.org/officeDocument/2006/relationships/hyperlink" Target="http://www.coe.int/t/dghl/standardsetting/hrpolicy/other_committees/dh-lgbt_docs/CM_Rec(97)20_en.pdf" TargetMode="External"/><Relationship Id="rId9" Type="http://schemas.openxmlformats.org/officeDocument/2006/relationships/hyperlink" Target="http://www.echr.coe.int/Pages/home.aspx?p=applicants" TargetMode="External"/><Relationship Id="rId14" Type="http://schemas.openxmlformats.org/officeDocument/2006/relationships/hyperlink" Target="http://stakeholders.ofcom.org.uk/broadcasting/guidance/complaints-sanctions/standards/" TargetMode="External"/><Relationship Id="rId22" Type="http://schemas.openxmlformats.org/officeDocument/2006/relationships/hyperlink" Target="http://www.krrit.gov.pl/Data/Files/_public/Portals/0/konsultacje/decyzja-eska-rock-2012-.pdf" TargetMode="External"/><Relationship Id="rId27" Type="http://schemas.openxmlformats.org/officeDocument/2006/relationships/hyperlink" Target="http://www.bai.ie/wordpress/wp-content/uploads/201310_October2013_v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14148</Words>
  <Characters>80649</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94608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dc:creator>
  <cp:keywords/>
  <dc:description/>
  <cp:lastModifiedBy>e.petreska</cp:lastModifiedBy>
  <cp:revision>18</cp:revision>
  <dcterms:created xsi:type="dcterms:W3CDTF">2014-11-20T08:49:00Z</dcterms:created>
  <dcterms:modified xsi:type="dcterms:W3CDTF">2015-01-09T12:35:00Z</dcterms:modified>
</cp:coreProperties>
</file>