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C2A5A" w:rsidRDefault="008C2A5A" w:rsidP="008C2A5A">
      <w:pPr>
        <w:ind w:firstLine="710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-US"/>
        </w:rPr>
        <w:t>Pursuant to</w:t>
      </w:r>
      <w:r w:rsidRPr="008C6D9F">
        <w:rPr>
          <w:rFonts w:asciiTheme="minorBidi" w:hAnsiTheme="minorBidi" w:cstheme="minorBidi"/>
        </w:rPr>
        <w:t xml:space="preserve"> Article 1</w:t>
      </w:r>
      <w:r>
        <w:rPr>
          <w:rFonts w:asciiTheme="minorBidi" w:hAnsiTheme="minorBidi" w:cstheme="minorBidi"/>
        </w:rPr>
        <w:t>44</w:t>
      </w:r>
      <w:r>
        <w:rPr>
          <w:rFonts w:asciiTheme="minorBidi" w:hAnsiTheme="minorBidi" w:cstheme="minorBidi"/>
          <w:lang w:val="en-US"/>
        </w:rPr>
        <w:t xml:space="preserve">, </w:t>
      </w:r>
      <w:r>
        <w:rPr>
          <w:rFonts w:asciiTheme="minorBidi" w:hAnsiTheme="minorBidi" w:cstheme="minorBidi"/>
        </w:rPr>
        <w:t>Paragraph 3 and Paragraph</w:t>
      </w:r>
      <w:r w:rsidRPr="008C6D9F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4</w:t>
      </w:r>
      <w:r>
        <w:rPr>
          <w:rFonts w:asciiTheme="minorBidi" w:hAnsiTheme="minorBidi" w:cstheme="minorBidi"/>
          <w:lang w:val="en-US"/>
        </w:rPr>
        <w:t xml:space="preserve">, </w:t>
      </w:r>
      <w:r w:rsidRPr="008C6D9F">
        <w:rPr>
          <w:rFonts w:asciiTheme="minorBidi" w:hAnsiTheme="minorBidi" w:cstheme="minorBidi"/>
        </w:rPr>
        <w:t>of the Law on Audio and Audiovisual Media Services (</w:t>
      </w:r>
      <w:r>
        <w:rPr>
          <w:rFonts w:asciiTheme="minorBidi" w:hAnsiTheme="minorBidi" w:cstheme="minorBidi"/>
        </w:rPr>
        <w:t>“</w:t>
      </w:r>
      <w:r w:rsidRPr="008C6D9F">
        <w:rPr>
          <w:rFonts w:asciiTheme="minorBidi" w:hAnsiTheme="minorBidi" w:cstheme="minorBidi"/>
        </w:rPr>
        <w:t>Official Gazette of the Republic of Macedonia</w:t>
      </w:r>
      <w:r>
        <w:rPr>
          <w:rFonts w:asciiTheme="minorBidi" w:hAnsiTheme="minorBidi" w:cstheme="minorBidi"/>
        </w:rPr>
        <w:t>”</w:t>
      </w:r>
      <w:r w:rsidRPr="008C6D9F">
        <w:rPr>
          <w:rFonts w:asciiTheme="minorBidi" w:hAnsiTheme="minorBidi" w:cstheme="minorBidi"/>
        </w:rPr>
        <w:t xml:space="preserve"> No</w:t>
      </w:r>
      <w:r>
        <w:rPr>
          <w:rFonts w:asciiTheme="minorBidi" w:hAnsiTheme="minorBidi" w:cstheme="minorBidi"/>
          <w:lang w:val="en-US"/>
        </w:rPr>
        <w:t>s</w:t>
      </w:r>
      <w:r w:rsidRPr="008C6D9F">
        <w:rPr>
          <w:rFonts w:asciiTheme="minorBidi" w:hAnsiTheme="minorBidi" w:cstheme="minorBidi"/>
        </w:rPr>
        <w:t xml:space="preserve"> 184/13, 13/14, 44/14, 101/14 and </w:t>
      </w:r>
      <w:r>
        <w:rPr>
          <w:rFonts w:asciiTheme="minorBidi" w:hAnsiTheme="minorBidi" w:cstheme="minorBidi"/>
        </w:rPr>
        <w:t>132</w:t>
      </w:r>
      <w:r w:rsidRPr="008C6D9F">
        <w:rPr>
          <w:rFonts w:asciiTheme="minorBidi" w:hAnsiTheme="minorBidi" w:cstheme="minorBidi"/>
        </w:rPr>
        <w:t>/1</w:t>
      </w:r>
      <w:r>
        <w:rPr>
          <w:rFonts w:asciiTheme="minorBidi" w:hAnsiTheme="minorBidi" w:cstheme="minorBidi"/>
        </w:rPr>
        <w:t>4),</w:t>
      </w:r>
      <w:r w:rsidRPr="008C6D9F">
        <w:rPr>
          <w:rFonts w:asciiTheme="minorBidi" w:hAnsiTheme="minorBidi" w:cstheme="minorBidi"/>
        </w:rPr>
        <w:t xml:space="preserve"> in accordance with the Conclusion of the Council of the Agency </w:t>
      </w:r>
      <w:r>
        <w:rPr>
          <w:rFonts w:asciiTheme="minorBidi" w:hAnsiTheme="minorBidi" w:cstheme="minorBidi"/>
          <w:lang w:val="en-US"/>
        </w:rPr>
        <w:t>Ref. No.</w:t>
      </w:r>
      <w:r>
        <w:rPr>
          <w:rFonts w:asciiTheme="minorBidi" w:hAnsiTheme="minorBidi" w:cstheme="minorBidi"/>
        </w:rPr>
        <w:t xml:space="preserve"> 02-3044/2 dated 06.06.</w:t>
      </w:r>
      <w:r w:rsidRPr="008C6D9F">
        <w:rPr>
          <w:rFonts w:asciiTheme="minorBidi" w:hAnsiTheme="minorBidi" w:cstheme="minorBidi"/>
        </w:rPr>
        <w:t>20</w:t>
      </w:r>
      <w:r>
        <w:rPr>
          <w:rFonts w:asciiTheme="minorBidi" w:hAnsiTheme="minorBidi" w:cstheme="minorBidi"/>
        </w:rPr>
        <w:t xml:space="preserve">16, at its </w:t>
      </w:r>
      <w:r>
        <w:t>21</w:t>
      </w:r>
      <w:r w:rsidRPr="00BD30AB">
        <w:rPr>
          <w:vertAlign w:val="superscript"/>
        </w:rPr>
        <w:t>st</w:t>
      </w:r>
      <w:r>
        <w:t xml:space="preserve"> </w:t>
      </w:r>
      <w:r w:rsidRPr="008C6D9F">
        <w:rPr>
          <w:rFonts w:asciiTheme="minorBidi" w:hAnsiTheme="minorBidi" w:cstheme="minorBidi"/>
        </w:rPr>
        <w:t xml:space="preserve">session held on </w:t>
      </w:r>
      <w:r>
        <w:rPr>
          <w:rFonts w:asciiTheme="minorBidi" w:hAnsiTheme="minorBidi" w:cstheme="minorBidi"/>
        </w:rPr>
        <w:t>06</w:t>
      </w:r>
      <w:r w:rsidRPr="008C6D9F">
        <w:rPr>
          <w:rFonts w:asciiTheme="minorBidi" w:hAnsiTheme="minorBidi" w:cstheme="minorBidi"/>
        </w:rPr>
        <w:t>.0</w:t>
      </w:r>
      <w:r>
        <w:rPr>
          <w:rFonts w:asciiTheme="minorBidi" w:hAnsiTheme="minorBidi" w:cstheme="minorBidi"/>
        </w:rPr>
        <w:t>6.2016</w:t>
      </w:r>
      <w:r>
        <w:rPr>
          <w:rFonts w:asciiTheme="minorBidi" w:hAnsiTheme="minorBidi" w:cstheme="minorBidi"/>
          <w:lang w:val="en-US"/>
        </w:rPr>
        <w:t xml:space="preserve">, </w:t>
      </w:r>
      <w:r w:rsidRPr="008C6D9F">
        <w:rPr>
          <w:rFonts w:asciiTheme="minorBidi" w:hAnsiTheme="minorBidi" w:cstheme="minorBidi"/>
        </w:rPr>
        <w:t xml:space="preserve">the Council of the Agency for Audio </w:t>
      </w:r>
      <w:r>
        <w:rPr>
          <w:rFonts w:asciiTheme="minorBidi" w:hAnsiTheme="minorBidi" w:cstheme="minorBidi"/>
        </w:rPr>
        <w:t>and Audiovisual Media Services adopted</w:t>
      </w:r>
      <w:r>
        <w:rPr>
          <w:rFonts w:asciiTheme="minorBidi" w:hAnsiTheme="minorBidi" w:cstheme="minorBidi"/>
          <w:lang w:val="en-US"/>
        </w:rPr>
        <w:t xml:space="preserve"> the following</w:t>
      </w:r>
      <w:r w:rsidRPr="008C6D9F">
        <w:rPr>
          <w:rFonts w:asciiTheme="minorBidi" w:hAnsiTheme="minorBidi" w:cstheme="minorBidi"/>
        </w:rPr>
        <w:t>:</w:t>
      </w:r>
    </w:p>
    <w:p w:rsidR="00CE39AD" w:rsidRPr="00E05619" w:rsidRDefault="00CE39AD" w:rsidP="008C2A5A">
      <w:pPr>
        <w:ind w:firstLine="710"/>
        <w:rPr>
          <w:rFonts w:asciiTheme="minorBidi" w:hAnsiTheme="minorBidi" w:cstheme="minorBidi"/>
        </w:rPr>
      </w:pPr>
    </w:p>
    <w:p w:rsidR="008C2A5A" w:rsidRPr="00E05619" w:rsidRDefault="008C2A5A" w:rsidP="008C2A5A">
      <w:pPr>
        <w:ind w:firstLine="720"/>
        <w:rPr>
          <w:rFonts w:asciiTheme="minorBidi" w:hAnsiTheme="minorBidi" w:cstheme="minorBidi"/>
        </w:rPr>
      </w:pPr>
    </w:p>
    <w:p w:rsidR="008C2A5A" w:rsidRPr="00E05619" w:rsidRDefault="008C2A5A" w:rsidP="008C2A5A">
      <w:pPr>
        <w:tabs>
          <w:tab w:val="center" w:pos="4513"/>
        </w:tabs>
        <w:jc w:val="center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lang w:val="en-US"/>
        </w:rPr>
        <w:t>RULEBOOK</w:t>
      </w:r>
      <w:r w:rsidRPr="00E05619">
        <w:rPr>
          <w:rFonts w:asciiTheme="minorBidi" w:hAnsiTheme="minorBidi" w:cstheme="minorBidi"/>
          <w:b/>
          <w:bCs/>
        </w:rPr>
        <w:t xml:space="preserve"> </w:t>
      </w:r>
    </w:p>
    <w:p w:rsidR="00CE39AD" w:rsidRDefault="008C2A5A" w:rsidP="008C2A5A">
      <w:pPr>
        <w:spacing w:after="0"/>
        <w:jc w:val="center"/>
        <w:rPr>
          <w:rFonts w:asciiTheme="minorBidi" w:hAnsiTheme="minorBidi" w:cstheme="minorBidi"/>
          <w:b/>
          <w:lang w:val="en-US"/>
        </w:rPr>
      </w:pPr>
      <w:r w:rsidRPr="00AB6451">
        <w:rPr>
          <w:rFonts w:asciiTheme="minorBidi" w:hAnsiTheme="minorBidi" w:cstheme="minorBidi"/>
          <w:b/>
        </w:rPr>
        <w:t>O</w:t>
      </w:r>
      <w:r>
        <w:rPr>
          <w:rFonts w:asciiTheme="minorBidi" w:hAnsiTheme="minorBidi" w:cstheme="minorBidi"/>
          <w:b/>
          <w:lang w:val="en-US"/>
        </w:rPr>
        <w:t>N</w:t>
      </w:r>
      <w:r>
        <w:rPr>
          <w:rFonts w:asciiTheme="minorBidi" w:hAnsiTheme="minorBidi" w:cstheme="minorBidi"/>
          <w:b/>
        </w:rPr>
        <w:t xml:space="preserve"> DETERM</w:t>
      </w:r>
      <w:r w:rsidRPr="00AB6451">
        <w:rPr>
          <w:rFonts w:asciiTheme="minorBidi" w:hAnsiTheme="minorBidi" w:cstheme="minorBidi"/>
          <w:b/>
        </w:rPr>
        <w:t>I</w:t>
      </w:r>
      <w:r>
        <w:rPr>
          <w:rFonts w:asciiTheme="minorBidi" w:hAnsiTheme="minorBidi" w:cstheme="minorBidi"/>
          <w:b/>
        </w:rPr>
        <w:t>NI</w:t>
      </w:r>
      <w:r w:rsidRPr="00AB6451">
        <w:rPr>
          <w:rFonts w:asciiTheme="minorBidi" w:hAnsiTheme="minorBidi" w:cstheme="minorBidi"/>
          <w:b/>
        </w:rPr>
        <w:t xml:space="preserve">NG </w:t>
      </w:r>
      <w:r>
        <w:rPr>
          <w:rFonts w:asciiTheme="minorBidi" w:hAnsiTheme="minorBidi" w:cstheme="minorBidi"/>
          <w:b/>
          <w:lang w:val="en-US"/>
        </w:rPr>
        <w:t>THE SITES TO WHICH OPERATORS OF PUBLIC ELECTRONIC COMMUNICATION NETWORKS THAT RETRANSMIT PROGRAMMING SERVICES AND THE PROVIDERS OF ON-DEMAND AUDIOVISUAL M</w:t>
      </w:r>
      <w:r w:rsidR="00CE39AD">
        <w:rPr>
          <w:rFonts w:asciiTheme="minorBidi" w:hAnsiTheme="minorBidi" w:cstheme="minorBidi"/>
          <w:b/>
          <w:lang w:val="en-US"/>
        </w:rPr>
        <w:t xml:space="preserve">EDIA SERVICES ARE OBLIGATED </w:t>
      </w:r>
    </w:p>
    <w:p w:rsidR="008C2A5A" w:rsidRDefault="00CE39AD" w:rsidP="008C2A5A">
      <w:pPr>
        <w:spacing w:after="0"/>
        <w:jc w:val="center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b/>
          <w:lang w:val="en-US"/>
        </w:rPr>
        <w:t>TO TRANSMIT</w:t>
      </w:r>
      <w:r w:rsidR="008C2A5A">
        <w:rPr>
          <w:rFonts w:asciiTheme="minorBidi" w:hAnsiTheme="minorBidi" w:cstheme="minorBidi"/>
          <w:b/>
          <w:lang w:val="en-US"/>
        </w:rPr>
        <w:t xml:space="preserve"> THEIR RESPECTIVE SIGNALS</w:t>
      </w:r>
    </w:p>
    <w:p w:rsidR="00D477A5" w:rsidRDefault="00D477A5">
      <w:pPr>
        <w:spacing w:after="0"/>
        <w:ind w:left="36" w:right="53" w:firstLine="727"/>
      </w:pPr>
    </w:p>
    <w:p w:rsidR="00D477A5" w:rsidRDefault="00D477A5">
      <w:pPr>
        <w:spacing w:after="0"/>
        <w:ind w:left="36" w:right="53" w:firstLine="727"/>
      </w:pPr>
    </w:p>
    <w:p w:rsidR="00D477A5" w:rsidRDefault="00D477A5">
      <w:pPr>
        <w:spacing w:after="0"/>
        <w:ind w:left="36" w:right="53" w:firstLine="727"/>
      </w:pPr>
    </w:p>
    <w:p w:rsidR="00D477A5" w:rsidRDefault="00D477A5">
      <w:pPr>
        <w:spacing w:after="0"/>
        <w:ind w:left="36" w:right="53" w:firstLine="727"/>
      </w:pPr>
    </w:p>
    <w:p w:rsidR="00D477A5" w:rsidRPr="00FB582D" w:rsidRDefault="00D477A5" w:rsidP="00D477A5">
      <w:pPr>
        <w:rPr>
          <w:b/>
        </w:rPr>
      </w:pPr>
    </w:p>
    <w:p w:rsidR="00FB36EF" w:rsidRPr="00DF4FEA" w:rsidRDefault="00CE39AD" w:rsidP="00DF4FEA">
      <w:pPr>
        <w:pStyle w:val="ListParagraph"/>
        <w:numPr>
          <w:ilvl w:val="0"/>
          <w:numId w:val="2"/>
        </w:numPr>
        <w:spacing w:after="0" w:line="259" w:lineRule="auto"/>
        <w:ind w:right="0"/>
        <w:jc w:val="left"/>
        <w:rPr>
          <w:b/>
          <w:sz w:val="26"/>
        </w:rPr>
      </w:pPr>
      <w:r w:rsidRPr="00DF4FEA">
        <w:rPr>
          <w:b/>
          <w:sz w:val="26"/>
        </w:rPr>
        <w:t>General provisions</w:t>
      </w:r>
    </w:p>
    <w:p w:rsidR="00DF4FEA" w:rsidRPr="00DF4FEA" w:rsidRDefault="00DF4FEA" w:rsidP="00DF4FEA">
      <w:pPr>
        <w:spacing w:after="0" w:line="259" w:lineRule="auto"/>
        <w:ind w:right="0"/>
        <w:jc w:val="left"/>
        <w:rPr>
          <w:b/>
        </w:rPr>
      </w:pPr>
    </w:p>
    <w:p w:rsidR="00FB36EF" w:rsidRDefault="00CE39AD">
      <w:pPr>
        <w:spacing w:after="708" w:line="265" w:lineRule="auto"/>
        <w:ind w:left="395" w:right="168"/>
        <w:jc w:val="center"/>
        <w:rPr>
          <w:b/>
          <w:sz w:val="26"/>
        </w:rPr>
      </w:pPr>
      <w:r w:rsidRPr="00FB582D">
        <w:rPr>
          <w:b/>
          <w:sz w:val="26"/>
        </w:rPr>
        <w:t>S</w:t>
      </w:r>
      <w:r w:rsidR="00FB582D">
        <w:rPr>
          <w:b/>
          <w:sz w:val="26"/>
        </w:rPr>
        <w:t>ubject matter</w:t>
      </w:r>
      <w:r w:rsidR="00DF4FEA">
        <w:rPr>
          <w:b/>
          <w:sz w:val="26"/>
        </w:rPr>
        <w:t xml:space="preserve"> of the Rulebook</w:t>
      </w:r>
    </w:p>
    <w:p w:rsidR="00DF4FEA" w:rsidRPr="00FB582D" w:rsidRDefault="00DF4FEA" w:rsidP="00DF4FEA">
      <w:pPr>
        <w:spacing w:after="219" w:line="259" w:lineRule="auto"/>
        <w:ind w:left="420" w:right="483"/>
        <w:jc w:val="center"/>
        <w:rPr>
          <w:b/>
          <w:lang w:val="mk-MK"/>
        </w:rPr>
      </w:pPr>
      <w:r>
        <w:t>Article 1</w:t>
      </w:r>
    </w:p>
    <w:p w:rsidR="00FB36EF" w:rsidRDefault="00DF4FEA" w:rsidP="00220B1D">
      <w:pPr>
        <w:spacing w:after="500"/>
        <w:ind w:left="36" w:right="53" w:firstLine="684"/>
      </w:pPr>
      <w:r w:rsidRPr="00DF4FEA">
        <w:t xml:space="preserve">This Rulebook determines the </w:t>
      </w:r>
      <w:r>
        <w:t>sites</w:t>
      </w:r>
      <w:r w:rsidRPr="00DF4FEA">
        <w:t xml:space="preserve"> to which</w:t>
      </w:r>
      <w:r>
        <w:t xml:space="preserve"> the</w:t>
      </w:r>
      <w:r w:rsidRPr="00DF4FEA">
        <w:t xml:space="preserve"> operators of public electroni</w:t>
      </w:r>
      <w:r>
        <w:t>c communication</w:t>
      </w:r>
      <w:r w:rsidRPr="00DF4FEA">
        <w:t xml:space="preserve"> networks that retransmit program</w:t>
      </w:r>
      <w:r>
        <w:t>ming</w:t>
      </w:r>
      <w:r w:rsidRPr="00DF4FEA">
        <w:t xml:space="preserve"> services and </w:t>
      </w:r>
      <w:r>
        <w:t xml:space="preserve">the </w:t>
      </w:r>
      <w:r w:rsidRPr="00DF4FEA">
        <w:t xml:space="preserve">providers of on-demand audiovisual media services are obliged to </w:t>
      </w:r>
      <w:r>
        <w:t xml:space="preserve">transmit </w:t>
      </w:r>
      <w:r w:rsidRPr="00DF4FEA">
        <w:t xml:space="preserve">their </w:t>
      </w:r>
      <w:r>
        <w:t xml:space="preserve">respective </w:t>
      </w:r>
      <w:r w:rsidRPr="00DF4FEA">
        <w:t>signal</w:t>
      </w:r>
      <w:r>
        <w:t>s</w:t>
      </w:r>
      <w:r w:rsidRPr="00DF4FEA">
        <w:t>.</w:t>
      </w:r>
    </w:p>
    <w:p w:rsidR="00FB36EF" w:rsidRPr="00123D15" w:rsidRDefault="00DF4FEA">
      <w:pPr>
        <w:ind w:left="310" w:right="53"/>
        <w:rPr>
          <w:sz w:val="26"/>
        </w:rPr>
      </w:pPr>
      <w:r w:rsidRPr="00123D15">
        <w:rPr>
          <w:sz w:val="26"/>
        </w:rPr>
        <w:t xml:space="preserve">II. </w:t>
      </w:r>
      <w:r w:rsidR="00123D15">
        <w:rPr>
          <w:b/>
          <w:sz w:val="26"/>
        </w:rPr>
        <w:t>Sp</w:t>
      </w:r>
      <w:r w:rsidRPr="00123D15">
        <w:rPr>
          <w:b/>
          <w:sz w:val="26"/>
        </w:rPr>
        <w:t>ecific provisions</w:t>
      </w:r>
    </w:p>
    <w:p w:rsidR="00FB36EF" w:rsidRDefault="00DF4FEA">
      <w:pPr>
        <w:spacing w:after="219" w:line="259" w:lineRule="auto"/>
        <w:ind w:left="420" w:right="483"/>
        <w:jc w:val="center"/>
      </w:pPr>
      <w:r>
        <w:t>Article</w:t>
      </w:r>
      <w:r w:rsidR="00437D72">
        <w:t xml:space="preserve"> 2</w:t>
      </w:r>
    </w:p>
    <w:p w:rsidR="00DF4FEA" w:rsidRDefault="00DF4FEA" w:rsidP="00220B1D">
      <w:pPr>
        <w:spacing w:after="219" w:line="259" w:lineRule="auto"/>
        <w:ind w:right="29" w:firstLine="710"/>
      </w:pPr>
      <w:r w:rsidRPr="00DF4FEA">
        <w:t xml:space="preserve">The signal collection </w:t>
      </w:r>
      <w:r>
        <w:t>sites shall be</w:t>
      </w:r>
      <w:r w:rsidRPr="00DF4FEA">
        <w:t xml:space="preserve"> determined in accordance with the distribution zones defined in the Geneva 06 Plan, which is part of the Regional Radiocommunication Conference for planning</w:t>
      </w:r>
      <w:r w:rsidR="00781A11">
        <w:t xml:space="preserve"> of</w:t>
      </w:r>
      <w:r w:rsidRPr="00DF4FEA">
        <w:t xml:space="preserve"> the digital </w:t>
      </w:r>
      <w:r w:rsidR="00781A11">
        <w:t xml:space="preserve">terrestrial </w:t>
      </w:r>
      <w:r w:rsidRPr="00DF4FEA">
        <w:t xml:space="preserve">broadcasting service </w:t>
      </w:r>
      <w:r w:rsidR="00781A11">
        <w:t>in</w:t>
      </w:r>
      <w:r w:rsidRPr="00DF4FEA">
        <w:t xml:space="preserve"> parts of </w:t>
      </w:r>
      <w:r w:rsidR="00781A11">
        <w:t>R</w:t>
      </w:r>
      <w:r w:rsidRPr="00DF4FEA">
        <w:t>egions 1 and 3</w:t>
      </w:r>
      <w:r w:rsidR="00781A11">
        <w:t xml:space="preserve"> in the</w:t>
      </w:r>
      <w:r w:rsidRPr="00DF4FEA">
        <w:t xml:space="preserve"> frequency bands 174-230 MHz and 470-862 M</w:t>
      </w:r>
      <w:r w:rsidR="00781A11">
        <w:t>h</w:t>
      </w:r>
      <w:r w:rsidRPr="00DF4FEA">
        <w:t xml:space="preserve">z (RRC-06), to which the Republic of Macedonia has acceded, except for </w:t>
      </w:r>
      <w:r w:rsidR="00781A11">
        <w:t>Z</w:t>
      </w:r>
      <w:r w:rsidRPr="00DF4FEA">
        <w:t>one D1</w:t>
      </w:r>
      <w:r w:rsidR="00781A11">
        <w:t xml:space="preserve"> – C</w:t>
      </w:r>
      <w:r w:rsidRPr="00DF4FEA">
        <w:t>rn Vrv, which consists of two broadcasting regions</w:t>
      </w:r>
      <w:r w:rsidR="00781A11">
        <w:t xml:space="preserve">. i.e. </w:t>
      </w:r>
      <w:r w:rsidRPr="00DF4FEA">
        <w:t>Skopje and Veles.</w:t>
      </w:r>
    </w:p>
    <w:p w:rsidR="00FB36EF" w:rsidRDefault="00DF4FEA">
      <w:pPr>
        <w:spacing w:after="219" w:line="259" w:lineRule="auto"/>
        <w:ind w:left="420" w:right="468"/>
        <w:jc w:val="center"/>
      </w:pPr>
      <w:r>
        <w:t>Article</w:t>
      </w:r>
      <w:r w:rsidR="00437D72">
        <w:t xml:space="preserve"> З</w:t>
      </w:r>
    </w:p>
    <w:p w:rsidR="00FC0FE3" w:rsidRDefault="00FC0FE3">
      <w:pPr>
        <w:ind w:left="36" w:right="53" w:firstLine="716"/>
      </w:pPr>
      <w:r w:rsidRPr="00FC0FE3">
        <w:t xml:space="preserve">The </w:t>
      </w:r>
      <w:r>
        <w:t>sites for collecting signals</w:t>
      </w:r>
      <w:r w:rsidRPr="00FC0FE3">
        <w:t xml:space="preserve"> from </w:t>
      </w:r>
      <w:r>
        <w:t xml:space="preserve">the </w:t>
      </w:r>
      <w:r w:rsidRPr="00FC0FE3">
        <w:t xml:space="preserve">operators </w:t>
      </w:r>
      <w:r>
        <w:t xml:space="preserve">that retransmit </w:t>
      </w:r>
      <w:r w:rsidRPr="00FC0FE3">
        <w:t>program</w:t>
      </w:r>
      <w:r>
        <w:t>ming</w:t>
      </w:r>
      <w:r w:rsidRPr="00FC0FE3">
        <w:t xml:space="preserve"> services or </w:t>
      </w:r>
      <w:r>
        <w:t xml:space="preserve">the </w:t>
      </w:r>
      <w:r w:rsidRPr="00FC0FE3">
        <w:t xml:space="preserve">providers of on-demand audiovisual media services </w:t>
      </w:r>
      <w:r>
        <w:t>shall be located</w:t>
      </w:r>
      <w:r w:rsidRPr="00FC0FE3">
        <w:t xml:space="preserve"> in the following cities</w:t>
      </w:r>
      <w:r>
        <w:t xml:space="preserve"> and towns</w:t>
      </w:r>
      <w:r w:rsidRPr="00FC0FE3">
        <w:t>:</w:t>
      </w:r>
    </w:p>
    <w:p w:rsidR="00FB36EF" w:rsidRDefault="00FB36EF">
      <w:pPr>
        <w:ind w:left="36" w:right="53" w:firstLine="716"/>
      </w:pPr>
    </w:p>
    <w:p w:rsidR="003B17F4" w:rsidRDefault="003B17F4" w:rsidP="008F1E92">
      <w:pPr>
        <w:pStyle w:val="ListParagraph"/>
        <w:numPr>
          <w:ilvl w:val="0"/>
          <w:numId w:val="3"/>
        </w:numPr>
        <w:spacing w:after="504"/>
        <w:ind w:right="53"/>
      </w:pPr>
      <w:r>
        <w:t>Skopje for D1-Crn Vrv/Skopje</w:t>
      </w:r>
      <w:r w:rsidRPr="003B17F4">
        <w:t xml:space="preserve"> </w:t>
      </w:r>
      <w:r>
        <w:t>Region, i.e. for the municipalities of Chucher Sandevo, Arachinovo, Ilinden, Petrovec, Zelenikovo, Studenichani and Sopishte;</w:t>
      </w:r>
    </w:p>
    <w:p w:rsidR="003B17F4" w:rsidRDefault="003B17F4" w:rsidP="003B17F4">
      <w:pPr>
        <w:pStyle w:val="ListParagraph"/>
        <w:numPr>
          <w:ilvl w:val="0"/>
          <w:numId w:val="3"/>
        </w:numPr>
        <w:spacing w:after="504"/>
        <w:ind w:right="53"/>
      </w:pPr>
      <w:r>
        <w:lastRenderedPageBreak/>
        <w:t>Veles for D1-Crn Vrv/Veles</w:t>
      </w:r>
      <w:r w:rsidRPr="003B17F4">
        <w:t xml:space="preserve"> </w:t>
      </w:r>
      <w:r>
        <w:t xml:space="preserve">Region, i.e. for the municipalities of Veles, Chashka, Sveti Nikole, Lozovo, Gradsko, Rosoman, Negotino and Kavadarci; </w:t>
      </w:r>
    </w:p>
    <w:p w:rsidR="003B17F4" w:rsidRDefault="003B17F4" w:rsidP="003B17F4">
      <w:pPr>
        <w:pStyle w:val="ListParagraph"/>
        <w:numPr>
          <w:ilvl w:val="0"/>
          <w:numId w:val="3"/>
        </w:numPr>
        <w:spacing w:after="504"/>
        <w:ind w:right="53"/>
      </w:pPr>
      <w:r>
        <w:t>Kumanovo for D2-Stracin</w:t>
      </w:r>
      <w:r w:rsidRPr="003B17F4">
        <w:t xml:space="preserve"> </w:t>
      </w:r>
      <w:r>
        <w:t>Region, i.e. for the municipalities of Kumanovo, Lipkovo, Staro Nagorichane, Rankovce, Kriva Palanka and Kratovo;</w:t>
      </w:r>
    </w:p>
    <w:p w:rsidR="003B17F4" w:rsidRDefault="003B17F4" w:rsidP="003B17F4">
      <w:pPr>
        <w:pStyle w:val="ListParagraph"/>
        <w:numPr>
          <w:ilvl w:val="0"/>
          <w:numId w:val="3"/>
        </w:numPr>
        <w:spacing w:after="504"/>
        <w:ind w:right="53"/>
      </w:pPr>
      <w:r>
        <w:t>Shtip for D3-Turtel</w:t>
      </w:r>
      <w:r w:rsidRPr="003B17F4">
        <w:t xml:space="preserve"> </w:t>
      </w:r>
      <w:r>
        <w:t>Region, i.e. for the municipalities of Shtip, Probishtip, Kochani, Makedonska Kamenica, Cheshinovo-Obleshevo, Karbinci, Zrnovci, Vinica, Delchevo, Pehchevo and Berovo;</w:t>
      </w:r>
    </w:p>
    <w:p w:rsidR="003B17F4" w:rsidRDefault="003B17F4" w:rsidP="003B17F4">
      <w:pPr>
        <w:pStyle w:val="ListParagraph"/>
        <w:numPr>
          <w:ilvl w:val="0"/>
          <w:numId w:val="3"/>
        </w:numPr>
        <w:spacing w:after="504"/>
        <w:ind w:right="53"/>
      </w:pPr>
      <w:r>
        <w:t>Strumica for D4-Boskija</w:t>
      </w:r>
      <w:r w:rsidRPr="003B17F4">
        <w:t xml:space="preserve"> </w:t>
      </w:r>
      <w:r>
        <w:t>Region, i.e. for the municipalities of Strumica, Radovish, Konche, Vasilevo, Bosilovo, Novo Selo, Dojran, Bogdanci, Valandovo and Gevgelija;</w:t>
      </w:r>
    </w:p>
    <w:p w:rsidR="003B17F4" w:rsidRDefault="003B17F4" w:rsidP="003B17F4">
      <w:pPr>
        <w:pStyle w:val="ListParagraph"/>
        <w:numPr>
          <w:ilvl w:val="0"/>
          <w:numId w:val="3"/>
        </w:numPr>
        <w:spacing w:after="504"/>
        <w:ind w:right="53"/>
      </w:pPr>
      <w:r>
        <w:t>Bitola for D5-Pelister Region, i.e. for the municipalities of Bitola, Prilep, Novaci, Mogila, Krivogashtani, Dolneni, Krushevo, Demir Hisar, Resen, Plasnica, Kichevo and Makedonski Brod;</w:t>
      </w:r>
    </w:p>
    <w:p w:rsidR="003B17F4" w:rsidRDefault="003B17F4" w:rsidP="003B17F4">
      <w:pPr>
        <w:pStyle w:val="ListParagraph"/>
        <w:numPr>
          <w:ilvl w:val="0"/>
          <w:numId w:val="3"/>
        </w:numPr>
        <w:spacing w:after="504"/>
        <w:ind w:right="53"/>
      </w:pPr>
      <w:r>
        <w:t>Ohrid for D6-Mali Vlaj Region, i.e. for the municipalities of Ohrid, Struga, Vevcani and Debarca;</w:t>
      </w:r>
    </w:p>
    <w:p w:rsidR="003B17F4" w:rsidRDefault="003B17F4" w:rsidP="003B17F4">
      <w:pPr>
        <w:pStyle w:val="ListParagraph"/>
        <w:numPr>
          <w:ilvl w:val="0"/>
          <w:numId w:val="3"/>
        </w:numPr>
        <w:spacing w:after="504"/>
        <w:ind w:right="53"/>
      </w:pPr>
      <w:r>
        <w:t>Debar for D7-Stogovo Region, i.e. for the municipalities of Debar, Mavrovo and Rostush</w:t>
      </w:r>
      <w:r w:rsidR="00EC6B43">
        <w:t>a and Centar Zh</w:t>
      </w:r>
      <w:r>
        <w:t>upa</w:t>
      </w:r>
      <w:r w:rsidR="00EC6B43">
        <w:t>,</w:t>
      </w:r>
      <w:r>
        <w:t xml:space="preserve"> and</w:t>
      </w:r>
    </w:p>
    <w:p w:rsidR="003B17F4" w:rsidRDefault="003B17F4" w:rsidP="003B17F4">
      <w:pPr>
        <w:pStyle w:val="ListParagraph"/>
        <w:numPr>
          <w:ilvl w:val="0"/>
          <w:numId w:val="3"/>
        </w:numPr>
        <w:spacing w:after="504"/>
        <w:ind w:right="53"/>
      </w:pPr>
      <w:r>
        <w:t xml:space="preserve">Tetovo for </w:t>
      </w:r>
      <w:r w:rsidR="00EC6B43">
        <w:t>D8-Popova Shapka Re</w:t>
      </w:r>
      <w:r>
        <w:t>gion, i.e. for the municipalities</w:t>
      </w:r>
      <w:r w:rsidR="00EC6B43">
        <w:t xml:space="preserve"> of</w:t>
      </w:r>
      <w:r>
        <w:t xml:space="preserve"> Tetovo, Gostivar, Bogovinje, Brvenica, Vrap</w:t>
      </w:r>
      <w:r w:rsidR="00EC6B43">
        <w:t>ch</w:t>
      </w:r>
      <w:r>
        <w:t>ište, Z</w:t>
      </w:r>
      <w:r w:rsidR="00EC6B43">
        <w:t>h</w:t>
      </w:r>
      <w:r>
        <w:t>elino, Jegunovce and Tearce.</w:t>
      </w:r>
    </w:p>
    <w:p w:rsidR="00156419" w:rsidRDefault="00156419" w:rsidP="00220B1D">
      <w:pPr>
        <w:spacing w:after="513"/>
        <w:ind w:right="53" w:firstLine="800"/>
      </w:pPr>
      <w:r w:rsidRPr="00156419">
        <w:t>Operators that re</w:t>
      </w:r>
      <w:r>
        <w:t xml:space="preserve">transmit </w:t>
      </w:r>
      <w:r w:rsidRPr="00156419">
        <w:t>program</w:t>
      </w:r>
      <w:r>
        <w:t>ming</w:t>
      </w:r>
      <w:r w:rsidRPr="00156419">
        <w:t xml:space="preserve"> services and providers of </w:t>
      </w:r>
      <w:r w:rsidR="00220B1D">
        <w:t xml:space="preserve">on-demand </w:t>
      </w:r>
      <w:r w:rsidRPr="00156419">
        <w:t xml:space="preserve">audiovisual media services shall </w:t>
      </w:r>
      <w:r>
        <w:t xml:space="preserve">transmit </w:t>
      </w:r>
      <w:r w:rsidRPr="00156419">
        <w:t>their out</w:t>
      </w:r>
      <w:r>
        <w:t>going</w:t>
      </w:r>
      <w:r w:rsidRPr="00156419">
        <w:t xml:space="preserve"> signal</w:t>
      </w:r>
      <w:r>
        <w:t xml:space="preserve">s </w:t>
      </w:r>
      <w:r w:rsidRPr="00156419">
        <w:t xml:space="preserve">to the </w:t>
      </w:r>
      <w:r>
        <w:t xml:space="preserve">sites </w:t>
      </w:r>
      <w:r w:rsidRPr="00156419">
        <w:t xml:space="preserve">specified in this </w:t>
      </w:r>
      <w:r>
        <w:t>A</w:t>
      </w:r>
      <w:r w:rsidRPr="00156419">
        <w:t xml:space="preserve">rticle for </w:t>
      </w:r>
      <w:r>
        <w:t xml:space="preserve">the purpose of </w:t>
      </w:r>
      <w:r w:rsidRPr="00156419">
        <w:t>its further distribution to the program</w:t>
      </w:r>
      <w:r>
        <w:t>me</w:t>
      </w:r>
      <w:r w:rsidRPr="00156419">
        <w:t xml:space="preserve"> </w:t>
      </w:r>
      <w:r>
        <w:t>monitoring</w:t>
      </w:r>
      <w:r w:rsidRPr="00156419">
        <w:t xml:space="preserve"> system of the Agency for Audio and Audio</w:t>
      </w:r>
      <w:r>
        <w:t>visual M</w:t>
      </w:r>
      <w:r w:rsidRPr="00156419">
        <w:t>edia Services in Skopje.</w:t>
      </w:r>
    </w:p>
    <w:p w:rsidR="00FB36EF" w:rsidRDefault="00156419" w:rsidP="001F4A30">
      <w:pPr>
        <w:spacing w:after="219" w:line="259" w:lineRule="auto"/>
        <w:ind w:right="381"/>
        <w:jc w:val="center"/>
      </w:pPr>
      <w:r>
        <w:t>Article</w:t>
      </w:r>
      <w:r w:rsidR="00437D72">
        <w:t xml:space="preserve"> 4</w:t>
      </w:r>
    </w:p>
    <w:p w:rsidR="00156419" w:rsidRDefault="00156419" w:rsidP="00156419">
      <w:pPr>
        <w:spacing w:after="244"/>
        <w:ind w:left="36" w:right="53" w:firstLine="838"/>
      </w:pPr>
      <w:r>
        <w:t xml:space="preserve">Operators that retransmit programming services or providers of on-demand audiovisual media services shall be obliged to continuously transmit their respective outgoing signals to the signal collection sites located in each of the regions specified in Article 3 of this Rulebook, conveying the same content as that available to their subscribers. </w:t>
      </w:r>
    </w:p>
    <w:p w:rsidR="00156419" w:rsidRDefault="00156419" w:rsidP="00156419">
      <w:pPr>
        <w:spacing w:after="244"/>
        <w:ind w:left="36" w:right="53" w:firstLine="838"/>
      </w:pPr>
      <w:r>
        <w:t>Operators that retransmit programming services or providers of on-demand audiovisual media services shall be obliged to transmit their respective outgoing signals from the test points.</w:t>
      </w:r>
    </w:p>
    <w:p w:rsidR="00FB36EF" w:rsidRDefault="00156419" w:rsidP="00156419">
      <w:pPr>
        <w:spacing w:after="244"/>
        <w:ind w:left="36" w:right="53" w:firstLine="838"/>
      </w:pPr>
      <w:r>
        <w:t xml:space="preserve">Operators that retransmit programming services and providers of on-demand audiovisual media services shall be obliged to submit to the Agency for Audio and Audiovisual Media Services </w:t>
      </w:r>
      <w:r w:rsidR="00220B1D">
        <w:t xml:space="preserve">notarized </w:t>
      </w:r>
      <w:r>
        <w:t>statements</w:t>
      </w:r>
      <w:r w:rsidR="00220B1D">
        <w:t xml:space="preserve"> t</w:t>
      </w:r>
      <w:r>
        <w:t>hat the</w:t>
      </w:r>
      <w:r w:rsidR="00220B1D">
        <w:t xml:space="preserve"> outgoing </w:t>
      </w:r>
      <w:r>
        <w:t>signal</w:t>
      </w:r>
      <w:r w:rsidR="00220B1D">
        <w:t>s</w:t>
      </w:r>
      <w:r>
        <w:t xml:space="preserve"> they </w:t>
      </w:r>
      <w:r w:rsidR="00220B1D">
        <w:t xml:space="preserve">transmit to the </w:t>
      </w:r>
      <w:r>
        <w:t xml:space="preserve">signal collection </w:t>
      </w:r>
      <w:r w:rsidR="00220B1D">
        <w:t>site</w:t>
      </w:r>
      <w:r>
        <w:t xml:space="preserve">s </w:t>
      </w:r>
      <w:r w:rsidR="00220B1D">
        <w:t xml:space="preserve">carry </w:t>
      </w:r>
      <w:r>
        <w:t xml:space="preserve">identical content </w:t>
      </w:r>
      <w:r w:rsidR="00220B1D">
        <w:t>as tha</w:t>
      </w:r>
      <w:r>
        <w:t xml:space="preserve">t which they </w:t>
      </w:r>
      <w:r w:rsidR="00220B1D">
        <w:t>transmit to their end subscribers.</w:t>
      </w:r>
    </w:p>
    <w:p w:rsidR="00FB36EF" w:rsidRDefault="00156419">
      <w:pPr>
        <w:spacing w:after="186" w:line="259" w:lineRule="auto"/>
        <w:ind w:left="420" w:right="818"/>
        <w:jc w:val="center"/>
      </w:pPr>
      <w:r>
        <w:t>Article</w:t>
      </w:r>
      <w:r w:rsidR="00437D72">
        <w:t xml:space="preserve"> 5</w:t>
      </w:r>
    </w:p>
    <w:p w:rsidR="00123D15" w:rsidRDefault="00220B1D" w:rsidP="00123D15">
      <w:pPr>
        <w:ind w:left="0" w:firstLine="0"/>
      </w:pPr>
      <w:r w:rsidRPr="00220B1D">
        <w:t>Operators of public electronic communication networks</w:t>
      </w:r>
      <w:r w:rsidR="001F4A30">
        <w:t xml:space="preserve"> and </w:t>
      </w:r>
      <w:r w:rsidRPr="00220B1D">
        <w:t>providers of on-demand audiovisual media services that provide different program</w:t>
      </w:r>
      <w:r>
        <w:t>me</w:t>
      </w:r>
      <w:r w:rsidRPr="00220B1D">
        <w:t xml:space="preserve"> packages to </w:t>
      </w:r>
      <w:r w:rsidR="001F4A30">
        <w:t xml:space="preserve">their end users shall transmit </w:t>
      </w:r>
      <w:r w:rsidRPr="00220B1D">
        <w:t xml:space="preserve">to the signal collection </w:t>
      </w:r>
      <w:r w:rsidR="001F4A30">
        <w:t xml:space="preserve">sites </w:t>
      </w:r>
      <w:r w:rsidRPr="00220B1D">
        <w:t>signal</w:t>
      </w:r>
      <w:r w:rsidR="001F4A30">
        <w:t>s</w:t>
      </w:r>
      <w:r w:rsidRPr="00220B1D">
        <w:t xml:space="preserve"> containing all </w:t>
      </w:r>
      <w:r w:rsidR="001F4A30">
        <w:t xml:space="preserve">the </w:t>
      </w:r>
      <w:r w:rsidRPr="00220B1D">
        <w:t>program</w:t>
      </w:r>
      <w:r w:rsidR="001F4A30">
        <w:t>ming</w:t>
      </w:r>
      <w:r w:rsidRPr="00220B1D">
        <w:t xml:space="preserve"> services covered by the</w:t>
      </w:r>
      <w:r w:rsidR="001F4A30">
        <w:t xml:space="preserve">ir respective </w:t>
      </w:r>
      <w:r w:rsidRPr="00220B1D">
        <w:t>ce</w:t>
      </w:r>
      <w:r w:rsidR="001F4A30">
        <w:t>rtificates for registration of</w:t>
      </w:r>
      <w:r w:rsidRPr="00220B1D">
        <w:t xml:space="preserve"> </w:t>
      </w:r>
      <w:r w:rsidR="001F4A30">
        <w:t>collective</w:t>
      </w:r>
      <w:r w:rsidRPr="00220B1D">
        <w:t xml:space="preserve"> analog</w:t>
      </w:r>
      <w:r w:rsidR="001F4A30">
        <w:t>ue</w:t>
      </w:r>
      <w:r w:rsidRPr="00220B1D">
        <w:t xml:space="preserve"> and/or digital program</w:t>
      </w:r>
      <w:r w:rsidR="001F4A30">
        <w:t>me</w:t>
      </w:r>
      <w:r w:rsidRPr="00220B1D">
        <w:t xml:space="preserve"> package</w:t>
      </w:r>
      <w:r w:rsidR="001F4A30">
        <w:t>s</w:t>
      </w:r>
      <w:r w:rsidRPr="00220B1D">
        <w:t xml:space="preserve">. Operators of </w:t>
      </w:r>
      <w:r w:rsidR="001F4A30">
        <w:t>public electronic communication</w:t>
      </w:r>
      <w:r w:rsidRPr="00220B1D">
        <w:t xml:space="preserve"> networks </w:t>
      </w:r>
      <w:r w:rsidR="001F4A30">
        <w:t>and</w:t>
      </w:r>
      <w:r w:rsidRPr="00220B1D">
        <w:t xml:space="preserve"> providers of on-demand audiovisual media services that provide the same program</w:t>
      </w:r>
      <w:r w:rsidR="001F4A30">
        <w:t>me</w:t>
      </w:r>
      <w:r w:rsidRPr="00220B1D">
        <w:t xml:space="preserve"> packages in different regions may deliver the</w:t>
      </w:r>
      <w:r w:rsidR="001F4A30">
        <w:t xml:space="preserve">ir outgoing </w:t>
      </w:r>
      <w:r w:rsidRPr="00220B1D">
        <w:t>signal</w:t>
      </w:r>
      <w:r w:rsidR="001F4A30">
        <w:t>s</w:t>
      </w:r>
      <w:r w:rsidRPr="00220B1D">
        <w:t xml:space="preserve"> </w:t>
      </w:r>
      <w:r w:rsidR="001F4A30">
        <w:t xml:space="preserve">to </w:t>
      </w:r>
      <w:r w:rsidRPr="00220B1D">
        <w:t xml:space="preserve">only one of the </w:t>
      </w:r>
      <w:r w:rsidR="001F4A30">
        <w:t>sites</w:t>
      </w:r>
      <w:r w:rsidRPr="00220B1D">
        <w:t xml:space="preserve"> specified in Article 3 of this </w:t>
      </w:r>
      <w:r w:rsidRPr="00220B1D">
        <w:lastRenderedPageBreak/>
        <w:t>Rul</w:t>
      </w:r>
      <w:r w:rsidR="001F4A30">
        <w:t>ebook</w:t>
      </w:r>
      <w:r w:rsidRPr="00220B1D">
        <w:t xml:space="preserve">. The signal they </w:t>
      </w:r>
      <w:r w:rsidR="001F4A30">
        <w:t xml:space="preserve">tranmsit </w:t>
      </w:r>
      <w:r w:rsidRPr="00220B1D">
        <w:t>shall contain all program</w:t>
      </w:r>
      <w:r w:rsidR="001F4A30">
        <w:t>ming</w:t>
      </w:r>
      <w:r w:rsidRPr="00220B1D">
        <w:t xml:space="preserve"> services covered by the </w:t>
      </w:r>
      <w:r w:rsidR="001F4A30">
        <w:t xml:space="preserve">registration </w:t>
      </w:r>
      <w:r w:rsidRPr="00220B1D">
        <w:t xml:space="preserve">certificates for </w:t>
      </w:r>
      <w:r w:rsidR="001F4A30">
        <w:t xml:space="preserve">collective </w:t>
      </w:r>
      <w:r w:rsidRPr="00220B1D">
        <w:t>analog</w:t>
      </w:r>
      <w:r w:rsidR="001F4A30">
        <w:t>ue</w:t>
      </w:r>
      <w:r w:rsidRPr="00220B1D">
        <w:t xml:space="preserve"> and/or digital program</w:t>
      </w:r>
      <w:r w:rsidR="001F4A30">
        <w:t>me</w:t>
      </w:r>
      <w:r w:rsidRPr="00220B1D">
        <w:t xml:space="preserve"> package</w:t>
      </w:r>
      <w:r w:rsidR="001F4A30">
        <w:t>s</w:t>
      </w:r>
      <w:r w:rsidRPr="00220B1D">
        <w:t>.</w:t>
      </w:r>
    </w:p>
    <w:p w:rsidR="00123D15" w:rsidRDefault="00123D15" w:rsidP="00123D15">
      <w:pPr>
        <w:ind w:left="0" w:firstLine="0"/>
      </w:pPr>
    </w:p>
    <w:p w:rsidR="00FB36EF" w:rsidRDefault="00123D15" w:rsidP="00123D15">
      <w:pPr>
        <w:ind w:left="0" w:firstLine="0"/>
        <w:jc w:val="center"/>
      </w:pPr>
      <w:r>
        <w:t>A</w:t>
      </w:r>
      <w:r w:rsidR="00156419" w:rsidRPr="00123D15">
        <w:t>rticle</w:t>
      </w:r>
      <w:r w:rsidR="00437D72" w:rsidRPr="00123D15">
        <w:t xml:space="preserve"> 6</w:t>
      </w:r>
    </w:p>
    <w:p w:rsidR="00123D15" w:rsidRPr="00123D15" w:rsidRDefault="00123D15" w:rsidP="00123D15">
      <w:pPr>
        <w:ind w:left="0" w:firstLine="0"/>
        <w:jc w:val="center"/>
      </w:pPr>
    </w:p>
    <w:p w:rsidR="001351DE" w:rsidRDefault="001F4A30" w:rsidP="001351DE">
      <w:pPr>
        <w:spacing w:after="471"/>
        <w:ind w:left="36" w:right="53" w:firstLine="743"/>
      </w:pPr>
      <w:r w:rsidRPr="001F4A30">
        <w:t>The signal</w:t>
      </w:r>
      <w:r>
        <w:t>s</w:t>
      </w:r>
      <w:r w:rsidRPr="001F4A30">
        <w:t xml:space="preserve"> that</w:t>
      </w:r>
      <w:r>
        <w:t xml:space="preserve"> the </w:t>
      </w:r>
      <w:r w:rsidRPr="001F4A30">
        <w:t xml:space="preserve">operators of public electronic communication networks </w:t>
      </w:r>
      <w:r>
        <w:t>and</w:t>
      </w:r>
      <w:r w:rsidRPr="001F4A30">
        <w:t xml:space="preserve"> </w:t>
      </w:r>
      <w:r>
        <w:t xml:space="preserve">the </w:t>
      </w:r>
      <w:r w:rsidRPr="001F4A30">
        <w:t xml:space="preserve">providers of on-demand audiovisual media services </w:t>
      </w:r>
      <w:r>
        <w:t>transmit to the signal collection sites</w:t>
      </w:r>
      <w:r w:rsidRPr="001F4A30">
        <w:t xml:space="preserve"> specified in Article 3 of this R</w:t>
      </w:r>
      <w:r>
        <w:t xml:space="preserve">ulebook </w:t>
      </w:r>
      <w:r w:rsidRPr="001F4A30">
        <w:t>shall be compatible with the Agency</w:t>
      </w:r>
      <w:r>
        <w:t>’</w:t>
      </w:r>
      <w:r w:rsidRPr="001F4A30">
        <w:t>s program</w:t>
      </w:r>
      <w:r>
        <w:t>me</w:t>
      </w:r>
      <w:r w:rsidRPr="001F4A30">
        <w:t xml:space="preserve"> </w:t>
      </w:r>
      <w:r>
        <w:t xml:space="preserve">monitoring </w:t>
      </w:r>
      <w:r w:rsidRPr="001F4A30">
        <w:t xml:space="preserve">system </w:t>
      </w:r>
      <w:r>
        <w:t xml:space="preserve">obtained </w:t>
      </w:r>
      <w:r w:rsidRPr="001F4A30">
        <w:t xml:space="preserve">for this purpose. </w:t>
      </w:r>
    </w:p>
    <w:p w:rsidR="001F4A30" w:rsidRDefault="001F4A30" w:rsidP="001351DE">
      <w:pPr>
        <w:spacing w:after="471"/>
        <w:ind w:left="36" w:right="29" w:firstLine="743"/>
      </w:pPr>
      <w:r w:rsidRPr="001351DE">
        <w:t>All costs associated with the transmission of outgoing signals</w:t>
      </w:r>
      <w:r w:rsidR="001351DE">
        <w:t xml:space="preserve"> to the signal </w:t>
      </w:r>
      <w:r w:rsidR="00123D15">
        <w:t>c</w:t>
      </w:r>
      <w:r w:rsidRPr="001351DE">
        <w:t xml:space="preserve">ollection </w:t>
      </w:r>
      <w:r w:rsidR="001351DE">
        <w:t xml:space="preserve">sites </w:t>
      </w:r>
      <w:r w:rsidRPr="001351DE">
        <w:t xml:space="preserve">shall be borne by </w:t>
      </w:r>
      <w:r w:rsidR="001351DE">
        <w:t xml:space="preserve">the </w:t>
      </w:r>
      <w:r w:rsidRPr="001351DE">
        <w:t>operators of public electronic communication</w:t>
      </w:r>
      <w:r w:rsidR="001351DE">
        <w:t xml:space="preserve"> networks and the </w:t>
      </w:r>
      <w:r w:rsidRPr="001351DE">
        <w:t>providers of on-demand audiovisual media services.</w:t>
      </w:r>
    </w:p>
    <w:p w:rsidR="001351DE" w:rsidRDefault="001351DE" w:rsidP="001351DE"/>
    <w:p w:rsidR="00FB36EF" w:rsidRPr="001F4A30" w:rsidRDefault="001F4A30">
      <w:pPr>
        <w:spacing w:after="0" w:line="259" w:lineRule="auto"/>
        <w:ind w:left="410" w:right="0"/>
        <w:jc w:val="left"/>
        <w:rPr>
          <w:b/>
        </w:rPr>
      </w:pPr>
      <w:r w:rsidRPr="001F4A30">
        <w:rPr>
          <w:b/>
          <w:sz w:val="26"/>
        </w:rPr>
        <w:t>III.</w:t>
      </w:r>
      <w:r w:rsidR="00437D72" w:rsidRPr="001F4A30">
        <w:rPr>
          <w:b/>
          <w:sz w:val="26"/>
        </w:rPr>
        <w:t xml:space="preserve"> </w:t>
      </w:r>
      <w:r w:rsidRPr="001F4A30">
        <w:rPr>
          <w:b/>
          <w:sz w:val="26"/>
        </w:rPr>
        <w:t>Transitional provisions</w:t>
      </w:r>
    </w:p>
    <w:p w:rsidR="00FB36EF" w:rsidRDefault="00156419" w:rsidP="001F4A30">
      <w:pPr>
        <w:spacing w:after="198" w:line="259" w:lineRule="auto"/>
        <w:ind w:right="0"/>
        <w:jc w:val="center"/>
      </w:pPr>
      <w:r>
        <w:t>Article</w:t>
      </w:r>
      <w:r w:rsidR="00437D72">
        <w:t xml:space="preserve"> 7</w:t>
      </w:r>
      <w:r w:rsidR="00437D72">
        <w:rPr>
          <w:noProof/>
          <w:lang w:val="en-US" w:eastAsia="en-US"/>
        </w:rPr>
        <w:drawing>
          <wp:inline distT="0" distB="0" distL="0" distR="0">
            <wp:extent cx="3232" cy="6464"/>
            <wp:effectExtent l="0" t="0" r="0" b="0"/>
            <wp:docPr id="11247" name="Picture 11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7" name="Picture 112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1DE" w:rsidRDefault="001351DE" w:rsidP="001351DE">
      <w:pPr>
        <w:spacing w:after="129" w:line="265" w:lineRule="auto"/>
        <w:ind w:right="0" w:firstLine="710"/>
      </w:pPr>
      <w:r w:rsidRPr="001351DE">
        <w:t xml:space="preserve">In the period from 1 to </w:t>
      </w:r>
      <w:r>
        <w:t xml:space="preserve">31 </w:t>
      </w:r>
      <w:r w:rsidRPr="001351DE">
        <w:t>July, 2016, testing</w:t>
      </w:r>
      <w:r>
        <w:t xml:space="preserve"> shall be done o</w:t>
      </w:r>
      <w:r w:rsidRPr="001351DE">
        <w:t>f the quali</w:t>
      </w:r>
      <w:r>
        <w:t xml:space="preserve">ty of the signals that the operators that </w:t>
      </w:r>
      <w:r w:rsidRPr="001351DE">
        <w:t>retransmit program</w:t>
      </w:r>
      <w:r>
        <w:t>ming</w:t>
      </w:r>
      <w:r w:rsidRPr="001351DE">
        <w:t xml:space="preserve"> services and </w:t>
      </w:r>
      <w:r>
        <w:t xml:space="preserve">the </w:t>
      </w:r>
      <w:r w:rsidRPr="001351DE">
        <w:t xml:space="preserve">providers of </w:t>
      </w:r>
      <w:r>
        <w:t xml:space="preserve">on-demand </w:t>
      </w:r>
      <w:r w:rsidRPr="001351DE">
        <w:t>audiovisual media services</w:t>
      </w:r>
      <w:r>
        <w:t xml:space="preserve"> transmit </w:t>
      </w:r>
      <w:r w:rsidRPr="001351DE">
        <w:t xml:space="preserve">to </w:t>
      </w:r>
      <w:r>
        <w:t xml:space="preserve">the </w:t>
      </w:r>
      <w:r w:rsidRPr="001351DE">
        <w:t xml:space="preserve">signal collection </w:t>
      </w:r>
      <w:r>
        <w:t>sites</w:t>
      </w:r>
      <w:r w:rsidRPr="001351DE">
        <w:t xml:space="preserve"> in accordance with Article 3 of th</w:t>
      </w:r>
      <w:r>
        <w:t>is Rulebook.</w:t>
      </w:r>
    </w:p>
    <w:p w:rsidR="001351DE" w:rsidRDefault="001351DE" w:rsidP="001351DE">
      <w:pPr>
        <w:spacing w:after="129" w:line="265" w:lineRule="auto"/>
        <w:ind w:left="0" w:right="0" w:firstLine="0"/>
      </w:pPr>
    </w:p>
    <w:p w:rsidR="00FB36EF" w:rsidRPr="00156419" w:rsidRDefault="00156419" w:rsidP="001351DE">
      <w:pPr>
        <w:spacing w:after="129" w:line="265" w:lineRule="auto"/>
        <w:ind w:left="0" w:right="0" w:firstLine="0"/>
        <w:jc w:val="center"/>
        <w:rPr>
          <w:b/>
        </w:rPr>
      </w:pPr>
      <w:r>
        <w:rPr>
          <w:b/>
          <w:sz w:val="26"/>
        </w:rPr>
        <w:t>Entry into force</w:t>
      </w:r>
    </w:p>
    <w:p w:rsidR="00FB36EF" w:rsidRDefault="00437D72" w:rsidP="001F4A30">
      <w:pPr>
        <w:spacing w:after="219" w:line="259" w:lineRule="auto"/>
        <w:ind w:right="36"/>
        <w:jc w:val="center"/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6388995</wp:posOffset>
            </wp:positionH>
            <wp:positionV relativeFrom="page">
              <wp:posOffset>4120499</wp:posOffset>
            </wp:positionV>
            <wp:extent cx="3232" cy="3232"/>
            <wp:effectExtent l="0" t="0" r="0" b="0"/>
            <wp:wrapSquare wrapText="bothSides"/>
            <wp:docPr id="11249" name="Picture 11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9" name="Picture 1124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6398690</wp:posOffset>
            </wp:positionH>
            <wp:positionV relativeFrom="page">
              <wp:posOffset>4269161</wp:posOffset>
            </wp:positionV>
            <wp:extent cx="3231" cy="6464"/>
            <wp:effectExtent l="0" t="0" r="0" b="0"/>
            <wp:wrapSquare wrapText="bothSides"/>
            <wp:docPr id="11250" name="Picture 11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0" name="Picture 1125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1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6398690</wp:posOffset>
            </wp:positionH>
            <wp:positionV relativeFrom="page">
              <wp:posOffset>5949678</wp:posOffset>
            </wp:positionV>
            <wp:extent cx="3231" cy="3232"/>
            <wp:effectExtent l="0" t="0" r="0" b="0"/>
            <wp:wrapSquare wrapText="bothSides"/>
            <wp:docPr id="11254" name="Picture 11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4" name="Picture 1125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1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6398690</wp:posOffset>
            </wp:positionH>
            <wp:positionV relativeFrom="page">
              <wp:posOffset>6075717</wp:posOffset>
            </wp:positionV>
            <wp:extent cx="3231" cy="6464"/>
            <wp:effectExtent l="0" t="0" r="0" b="0"/>
            <wp:wrapSquare wrapText="bothSides"/>
            <wp:docPr id="11256" name="Picture 11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6" name="Picture 1125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1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6392227</wp:posOffset>
            </wp:positionH>
            <wp:positionV relativeFrom="page">
              <wp:posOffset>1367036</wp:posOffset>
            </wp:positionV>
            <wp:extent cx="3231" cy="3232"/>
            <wp:effectExtent l="0" t="0" r="0" b="0"/>
            <wp:wrapSquare wrapText="bothSides"/>
            <wp:docPr id="11246" name="Picture 11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6" name="Picture 1124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1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6398690</wp:posOffset>
            </wp:positionH>
            <wp:positionV relativeFrom="page">
              <wp:posOffset>2834257</wp:posOffset>
            </wp:positionV>
            <wp:extent cx="3231" cy="6463"/>
            <wp:effectExtent l="0" t="0" r="0" b="0"/>
            <wp:wrapSquare wrapText="bothSides"/>
            <wp:docPr id="11248" name="Picture 11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8" name="Picture 1124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1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6392227</wp:posOffset>
            </wp:positionH>
            <wp:positionV relativeFrom="page">
              <wp:posOffset>4915513</wp:posOffset>
            </wp:positionV>
            <wp:extent cx="3231" cy="3232"/>
            <wp:effectExtent l="0" t="0" r="0" b="0"/>
            <wp:wrapSquare wrapText="bothSides"/>
            <wp:docPr id="11252" name="Picture 11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2" name="Picture 112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1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6356679</wp:posOffset>
            </wp:positionH>
            <wp:positionV relativeFrom="page">
              <wp:posOffset>10241461</wp:posOffset>
            </wp:positionV>
            <wp:extent cx="6464" cy="12926"/>
            <wp:effectExtent l="0" t="0" r="0" b="0"/>
            <wp:wrapTopAndBottom/>
            <wp:docPr id="17559" name="Picture 17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9" name="Picture 1755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12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6419">
        <w:t>Article</w:t>
      </w:r>
      <w:r>
        <w:t xml:space="preserve"> 8</w:t>
      </w:r>
    </w:p>
    <w:p w:rsidR="00DC54E1" w:rsidRDefault="00DC54E1" w:rsidP="00DC54E1">
      <w:pPr>
        <w:spacing w:after="252" w:line="265" w:lineRule="auto"/>
        <w:ind w:right="46" w:firstLine="710"/>
      </w:pPr>
      <w:r w:rsidRPr="00DC54E1">
        <w:t>On the day of entry into force of t</w:t>
      </w:r>
      <w:r>
        <w:t xml:space="preserve">his Rulebook, the Rulebook on Determining the </w:t>
      </w:r>
      <w:r w:rsidR="00123D15">
        <w:t>s</w:t>
      </w:r>
      <w:r>
        <w:t>ites for Collecting Signals from</w:t>
      </w:r>
      <w:r w:rsidRPr="00DC54E1">
        <w:t xml:space="preserve"> </w:t>
      </w:r>
      <w:r>
        <w:t>the O</w:t>
      </w:r>
      <w:r w:rsidRPr="00DC54E1">
        <w:t xml:space="preserve">perators of </w:t>
      </w:r>
      <w:r>
        <w:t>P</w:t>
      </w:r>
      <w:r w:rsidRPr="00DC54E1">
        <w:t xml:space="preserve">ublic </w:t>
      </w:r>
      <w:r>
        <w:t>E</w:t>
      </w:r>
      <w:r w:rsidRPr="00DC54E1">
        <w:t xml:space="preserve">lectronic </w:t>
      </w:r>
      <w:r>
        <w:t>C</w:t>
      </w:r>
      <w:r w:rsidRPr="00DC54E1">
        <w:t xml:space="preserve">ommunication </w:t>
      </w:r>
      <w:r>
        <w:t>N</w:t>
      </w:r>
      <w:r w:rsidRPr="00DC54E1">
        <w:t xml:space="preserve">etworks and </w:t>
      </w:r>
      <w:r>
        <w:t>the P</w:t>
      </w:r>
      <w:r w:rsidRPr="00DC54E1">
        <w:t>roviders of</w:t>
      </w:r>
      <w:r>
        <w:t xml:space="preserve"> On-Demand Audiovisual M</w:t>
      </w:r>
      <w:r w:rsidRPr="00DC54E1">
        <w:t xml:space="preserve">edia </w:t>
      </w:r>
      <w:r>
        <w:t>S</w:t>
      </w:r>
      <w:r w:rsidRPr="00DC54E1">
        <w:t>ervices (</w:t>
      </w:r>
      <w:r>
        <w:t>Ref. No. 01-2408/1 dated</w:t>
      </w:r>
      <w:r w:rsidRPr="00DC54E1">
        <w:t xml:space="preserve"> 30.03.2015) and the Rulebook </w:t>
      </w:r>
      <w:r>
        <w:t>Am</w:t>
      </w:r>
      <w:r w:rsidRPr="00DC54E1">
        <w:t xml:space="preserve">ending and </w:t>
      </w:r>
      <w:r>
        <w:t>S</w:t>
      </w:r>
      <w:r w:rsidRPr="00DC54E1">
        <w:t xml:space="preserve">upplementing the Rulebook on </w:t>
      </w:r>
      <w:r>
        <w:t>D</w:t>
      </w:r>
      <w:r w:rsidRPr="00DC54E1">
        <w:t xml:space="preserve">etermining </w:t>
      </w:r>
      <w:r>
        <w:t>the Sites for Collecting Signals from</w:t>
      </w:r>
      <w:r w:rsidRPr="00DC54E1">
        <w:t xml:space="preserve"> </w:t>
      </w:r>
      <w:r>
        <w:t>the O</w:t>
      </w:r>
      <w:r w:rsidRPr="00DC54E1">
        <w:t xml:space="preserve">perators of </w:t>
      </w:r>
      <w:r>
        <w:t>P</w:t>
      </w:r>
      <w:r w:rsidRPr="00DC54E1">
        <w:t xml:space="preserve">ublic </w:t>
      </w:r>
      <w:r>
        <w:t>E</w:t>
      </w:r>
      <w:r w:rsidRPr="00DC54E1">
        <w:t xml:space="preserve">lectronic </w:t>
      </w:r>
      <w:r>
        <w:t>C</w:t>
      </w:r>
      <w:r w:rsidRPr="00DC54E1">
        <w:t xml:space="preserve">ommunication </w:t>
      </w:r>
      <w:r>
        <w:t>N</w:t>
      </w:r>
      <w:r w:rsidRPr="00DC54E1">
        <w:t xml:space="preserve">etworks and </w:t>
      </w:r>
      <w:r>
        <w:t>the P</w:t>
      </w:r>
      <w:r w:rsidRPr="00DC54E1">
        <w:t>roviders of</w:t>
      </w:r>
      <w:r>
        <w:t xml:space="preserve"> On-Demand Audiovisual M</w:t>
      </w:r>
      <w:r w:rsidRPr="00DC54E1">
        <w:t xml:space="preserve">edia </w:t>
      </w:r>
      <w:r>
        <w:t>S</w:t>
      </w:r>
      <w:r w:rsidRPr="00DC54E1">
        <w:t xml:space="preserve">ervices (No. 01-1158/1 </w:t>
      </w:r>
      <w:r>
        <w:t xml:space="preserve">dated </w:t>
      </w:r>
      <w:r w:rsidRPr="00DC54E1">
        <w:t>26.02.2016) shall cease to be valid.</w:t>
      </w:r>
    </w:p>
    <w:p w:rsidR="00FB36EF" w:rsidRDefault="00156419" w:rsidP="00DC54E1">
      <w:pPr>
        <w:spacing w:after="252" w:line="265" w:lineRule="auto"/>
        <w:ind w:right="46"/>
        <w:jc w:val="center"/>
      </w:pPr>
      <w:r>
        <w:rPr>
          <w:sz w:val="26"/>
        </w:rPr>
        <w:t>Article</w:t>
      </w:r>
      <w:r w:rsidR="00437D72">
        <w:rPr>
          <w:sz w:val="26"/>
        </w:rPr>
        <w:t xml:space="preserve"> 9</w:t>
      </w:r>
    </w:p>
    <w:p w:rsidR="00FB36EF" w:rsidRPr="00123D15" w:rsidRDefault="00DC54E1" w:rsidP="00123D15">
      <w:pPr>
        <w:ind w:left="0" w:firstLine="0"/>
      </w:pPr>
      <w:r w:rsidRPr="00DC54E1">
        <w:t xml:space="preserve">This </w:t>
      </w:r>
      <w:r>
        <w:t xml:space="preserve">Rulebook </w:t>
      </w:r>
      <w:r w:rsidRPr="00DC54E1">
        <w:t xml:space="preserve">shall enter into force on the day following </w:t>
      </w:r>
      <w:r>
        <w:t>that of its publication in the “</w:t>
      </w:r>
      <w:r w:rsidRPr="00DC54E1">
        <w:t>Official Gazette of the Republic of Macedonia,</w:t>
      </w:r>
      <w:r>
        <w:t>”</w:t>
      </w:r>
      <w:r w:rsidRPr="00DC54E1">
        <w:t xml:space="preserve"> and shal</w:t>
      </w:r>
      <w:r w:rsidR="00123D15">
        <w:t xml:space="preserve">l be implemented as of 1 August </w:t>
      </w:r>
      <w:r w:rsidR="00123D15" w:rsidRPr="00123D15">
        <w:t>2016.</w:t>
      </w:r>
    </w:p>
    <w:p w:rsidR="00123D15" w:rsidRDefault="00123D15" w:rsidP="00123D15">
      <w:pPr>
        <w:ind w:left="0" w:firstLine="0"/>
      </w:pPr>
    </w:p>
    <w:p w:rsidR="00123D15" w:rsidRPr="00123D15" w:rsidRDefault="00123D15" w:rsidP="00123D15">
      <w:pPr>
        <w:ind w:left="0" w:firstLine="0"/>
      </w:pPr>
      <w:r w:rsidRPr="00123D15">
        <w:t>Ref. No.</w:t>
      </w:r>
      <w:r w:rsidRPr="00123D15">
        <w:rPr>
          <w:u w:val="single"/>
        </w:rPr>
        <w:t xml:space="preserve"> 01-3081/1</w:t>
      </w:r>
    </w:p>
    <w:p w:rsidR="00123D15" w:rsidRDefault="00123D15" w:rsidP="00123D15">
      <w:pPr>
        <w:ind w:left="0" w:firstLine="0"/>
      </w:pPr>
      <w:r w:rsidRPr="00123D15">
        <w:rPr>
          <w:u w:val="single"/>
        </w:rPr>
        <w:t>06.06</w:t>
      </w:r>
      <w:r w:rsidRPr="00123D15">
        <w:t>.20</w:t>
      </w:r>
      <w:r w:rsidR="00A45F9E">
        <w:t>16</w:t>
      </w:r>
      <w:r w:rsidRPr="00123D1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3D15">
        <w:t>Agency for Audio and Audiovisual</w:t>
      </w:r>
    </w:p>
    <w:p w:rsidR="00123D15" w:rsidRPr="00123D15" w:rsidRDefault="00123D15" w:rsidP="00123D15">
      <w:pPr>
        <w:ind w:left="0" w:firstLine="0"/>
      </w:pPr>
      <w:r>
        <w:t>Skopje</w:t>
      </w:r>
      <w:r w:rsidRPr="00123D15">
        <w:t xml:space="preserve">                           </w:t>
      </w:r>
      <w:r>
        <w:tab/>
      </w:r>
      <w:r>
        <w:tab/>
      </w:r>
      <w:r>
        <w:tab/>
      </w:r>
      <w:r>
        <w:tab/>
      </w:r>
      <w:r>
        <w:tab/>
      </w:r>
      <w:r w:rsidRPr="00123D15">
        <w:t>Media Services</w:t>
      </w:r>
    </w:p>
    <w:p w:rsidR="00123D15" w:rsidRDefault="00123D15" w:rsidP="00123D15">
      <w:pPr>
        <w:ind w:left="5040" w:firstLine="0"/>
      </w:pPr>
      <w:r w:rsidRPr="00123D15">
        <w:t>President of the Council,</w:t>
      </w:r>
      <w:r w:rsidRPr="00123D15">
        <w:tab/>
      </w:r>
      <w:r w:rsidRPr="00123D15">
        <w:tab/>
        <w:t xml:space="preserve"> </w:t>
      </w:r>
    </w:p>
    <w:p w:rsidR="00123D15" w:rsidRPr="00123D15" w:rsidRDefault="00123D15" w:rsidP="00123D15">
      <w:pPr>
        <w:ind w:left="0" w:firstLine="0"/>
      </w:pPr>
      <w:r w:rsidRPr="00123D15">
        <w:tab/>
      </w:r>
      <w:r w:rsidRPr="00123D15">
        <w:tab/>
      </w:r>
      <w:r w:rsidRPr="00123D15">
        <w:tab/>
        <w:t xml:space="preserve">                               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123D15">
        <w:tab/>
      </w:r>
      <w:r>
        <w:tab/>
      </w:r>
      <w:r w:rsidRPr="00123D15">
        <w:tab/>
        <w:t xml:space="preserve">                               </w:t>
      </w:r>
      <w:r w:rsidRPr="00123D15">
        <w:tab/>
      </w:r>
      <w:r w:rsidRPr="00123D15">
        <w:tab/>
      </w:r>
      <w:r w:rsidRPr="00123D15">
        <w:tab/>
        <w:t xml:space="preserve">     Lazo PETRUSHEVSKI   </w:t>
      </w:r>
    </w:p>
    <w:sectPr w:rsidR="00123D15" w:rsidRPr="00123D15">
      <w:footerReference w:type="even" r:id="rId15"/>
      <w:footerReference w:type="default" r:id="rId16"/>
      <w:footerReference w:type="first" r:id="rId17"/>
      <w:pgSz w:w="11909" w:h="1684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81503" w:rsidRDefault="00E81503">
      <w:pPr>
        <w:spacing w:after="0" w:line="240" w:lineRule="auto"/>
      </w:pPr>
      <w:r>
        <w:separator/>
      </w:r>
    </w:p>
  </w:endnote>
  <w:endnote w:type="continuationSeparator" w:id="0">
    <w:p w:rsidR="00E81503" w:rsidRDefault="00E8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B36EF" w:rsidRDefault="00FB36EF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B36EF" w:rsidRDefault="00FB36EF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B36EF" w:rsidRDefault="00FB36EF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81503" w:rsidRDefault="00E81503">
      <w:pPr>
        <w:spacing w:after="0" w:line="240" w:lineRule="auto"/>
      </w:pPr>
      <w:r>
        <w:separator/>
      </w:r>
    </w:p>
  </w:footnote>
  <w:footnote w:type="continuationSeparator" w:id="0">
    <w:p w:rsidR="00E81503" w:rsidRDefault="00E8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756D8F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61357649" o:spid="_x0000_i1025" type="#_x0000_t75" style="width:12pt;height:12.75pt;visibility:visible;mso-wrap-style:square" filled="t">
            <v:imagedata r:id="rId1" o:title=""/>
            <o:lock v:ext="edit" aspectratio="f"/>
          </v:shape>
        </w:pict>
      </mc:Choice>
      <mc:Fallback>
        <w:drawing>
          <wp:inline distT="0" distB="0" distL="0" distR="0" wp14:anchorId="45007C21" wp14:editId="3EA6E158">
            <wp:extent cx="152400" cy="161925"/>
            <wp:effectExtent l="0" t="0" r="0" b="0"/>
            <wp:docPr id="1761357649" name="Picture 1761357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 preferRelativeResize="0"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C4B8DDF" id="Picture 370675520" o:spid="_x0000_i1025" type="#_x0000_t75" style="width:14.25pt;height:25.5pt;visibility:visible;mso-wrap-style:square">
            <v:imagedata r:id="rId3" o:title=""/>
          </v:shape>
        </w:pict>
      </mc:Choice>
      <mc:Fallback>
        <w:drawing>
          <wp:inline distT="0" distB="0" distL="0" distR="0" wp14:anchorId="231FC144" wp14:editId="14460E72">
            <wp:extent cx="180975" cy="323850"/>
            <wp:effectExtent l="0" t="0" r="0" b="0"/>
            <wp:docPr id="370675520" name="Picture 370675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4B086BE6" id="Picture 2087795697" o:spid="_x0000_i1025" type="#_x0000_t75" style="width:1.5pt;height:1.5pt;visibility:visible;mso-wrap-style:square">
            <v:imagedata r:id="rId5" o:title=""/>
          </v:shape>
        </w:pict>
      </mc:Choice>
      <mc:Fallback>
        <w:drawing>
          <wp:inline distT="0" distB="0" distL="0" distR="0" wp14:anchorId="5EA4DC7E" wp14:editId="75ABA6A3">
            <wp:extent cx="19050" cy="19050"/>
            <wp:effectExtent l="0" t="0" r="0" b="0"/>
            <wp:docPr id="2087795697" name="Picture 2087795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74C68CB"/>
    <w:multiLevelType w:val="hybridMultilevel"/>
    <w:tmpl w:val="2466AC0C"/>
    <w:lvl w:ilvl="0" w:tplc="C1DEEA3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4601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2EA5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B059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A471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1A11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925A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081A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385D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D64549E"/>
    <w:multiLevelType w:val="hybridMultilevel"/>
    <w:tmpl w:val="E3B2D630"/>
    <w:lvl w:ilvl="0" w:tplc="8FC4CD1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CA65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EE09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FCCF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1685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58E9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9007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2215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1C83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56749C7"/>
    <w:multiLevelType w:val="hybridMultilevel"/>
    <w:tmpl w:val="3ED60626"/>
    <w:lvl w:ilvl="0" w:tplc="040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3" w15:restartNumberingAfterBreak="0">
    <w:nsid w:val="7E654F45"/>
    <w:multiLevelType w:val="hybridMultilevel"/>
    <w:tmpl w:val="93FA4A5A"/>
    <w:lvl w:ilvl="0" w:tplc="CBEC9EA8">
      <w:start w:val="1"/>
      <w:numFmt w:val="bullet"/>
      <w:lvlText w:val="•"/>
      <w:lvlPicBulletId w:val="0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7A5684">
      <w:start w:val="1"/>
      <w:numFmt w:val="bullet"/>
      <w:lvlText w:val="o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C22AF8">
      <w:start w:val="1"/>
      <w:numFmt w:val="bullet"/>
      <w:lvlText w:val="▪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7AD376">
      <w:start w:val="1"/>
      <w:numFmt w:val="bullet"/>
      <w:lvlText w:val="•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48CE28">
      <w:start w:val="1"/>
      <w:numFmt w:val="bullet"/>
      <w:lvlText w:val="o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944184">
      <w:start w:val="1"/>
      <w:numFmt w:val="bullet"/>
      <w:lvlText w:val="▪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A258EA">
      <w:start w:val="1"/>
      <w:numFmt w:val="bullet"/>
      <w:lvlText w:val="•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E87B08">
      <w:start w:val="1"/>
      <w:numFmt w:val="bullet"/>
      <w:lvlText w:val="o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D66C24">
      <w:start w:val="1"/>
      <w:numFmt w:val="bullet"/>
      <w:lvlText w:val="▪"/>
      <w:lvlJc w:val="left"/>
      <w:pPr>
        <w:ind w:left="6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7220108">
    <w:abstractNumId w:val="3"/>
  </w:num>
  <w:num w:numId="2" w16cid:durableId="2119446120">
    <w:abstractNumId w:val="1"/>
  </w:num>
  <w:num w:numId="3" w16cid:durableId="1861893025">
    <w:abstractNumId w:val="2"/>
  </w:num>
  <w:num w:numId="4" w16cid:durableId="1240601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6EF"/>
    <w:rsid w:val="00123D15"/>
    <w:rsid w:val="001351DE"/>
    <w:rsid w:val="00156419"/>
    <w:rsid w:val="001F4A30"/>
    <w:rsid w:val="00220B1D"/>
    <w:rsid w:val="003B17F4"/>
    <w:rsid w:val="00437D72"/>
    <w:rsid w:val="004E450C"/>
    <w:rsid w:val="00573AB4"/>
    <w:rsid w:val="00781A11"/>
    <w:rsid w:val="00871235"/>
    <w:rsid w:val="008C2A5A"/>
    <w:rsid w:val="008F1E92"/>
    <w:rsid w:val="00911C51"/>
    <w:rsid w:val="009201F3"/>
    <w:rsid w:val="0092700B"/>
    <w:rsid w:val="009418E2"/>
    <w:rsid w:val="00A12DD7"/>
    <w:rsid w:val="00A45F9E"/>
    <w:rsid w:val="00A72E56"/>
    <w:rsid w:val="00B57241"/>
    <w:rsid w:val="00CE39AD"/>
    <w:rsid w:val="00CE782F"/>
    <w:rsid w:val="00D477A5"/>
    <w:rsid w:val="00DC54E1"/>
    <w:rsid w:val="00DF4FEA"/>
    <w:rsid w:val="00E81503"/>
    <w:rsid w:val="00EC6B43"/>
    <w:rsid w:val="00FB36EF"/>
    <w:rsid w:val="00FB582D"/>
    <w:rsid w:val="00FC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E6295"/>
  <w15:docId w15:val="{497CAAEF-283B-406B-AC40-4EE48B38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q-AL" w:eastAsia="sq-A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9" w:line="226" w:lineRule="auto"/>
      <w:ind w:left="10" w:right="9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752" w:hanging="10"/>
      <w:outlineLvl w:val="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8E2"/>
    <w:rPr>
      <w:rFonts w:ascii="Segoe UI" w:eastAsia="Times New Roman" w:hAnsi="Segoe UI" w:cs="Segoe UI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8C2A5A"/>
    <w:pPr>
      <w:spacing w:after="200" w:line="276" w:lineRule="auto"/>
      <w:ind w:left="0" w:right="0" w:firstLine="0"/>
      <w:jc w:val="left"/>
    </w:pPr>
    <w:rPr>
      <w:rFonts w:ascii="Calibri" w:eastAsia="Calibri" w:hAnsi="Calibri"/>
      <w:color w:val="auto"/>
      <w:kern w:val="0"/>
      <w:sz w:val="20"/>
      <w:szCs w:val="20"/>
      <w:lang w:val="mk-MK" w:eastAsia="en-US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2A5A"/>
    <w:rPr>
      <w:rFonts w:ascii="Calibri" w:eastAsia="Calibri" w:hAnsi="Calibri" w:cs="Times New Roman"/>
      <w:kern w:val="0"/>
      <w:sz w:val="20"/>
      <w:szCs w:val="20"/>
      <w:lang w:val="mk-MK" w:eastAsia="en-US"/>
      <w14:ligatures w14:val="none"/>
    </w:rPr>
  </w:style>
  <w:style w:type="character" w:styleId="FootnoteReference">
    <w:name w:val="footnote reference"/>
    <w:uiPriority w:val="99"/>
    <w:rsid w:val="008C2A5A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DF4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jpg"/><Relationship Id="rId13" Type="http://schemas.openxmlformats.org/officeDocument/2006/relationships/image" Target="media/image13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7.jpg"/><Relationship Id="rId12" Type="http://schemas.openxmlformats.org/officeDocument/2006/relationships/image" Target="media/image12.jp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1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10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9.jpg"/><Relationship Id="rId14" Type="http://schemas.openxmlformats.org/officeDocument/2006/relationships/image" Target="media/image14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3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Jeton Ismaili</dc:creator>
  <cp:keywords/>
  <dc:description/>
  <cp:lastModifiedBy>Jeton Ismaili</cp:lastModifiedBy>
  <cp:revision>4</cp:revision>
  <cp:lastPrinted>2025-01-29T15:05:00Z</cp:lastPrinted>
  <dcterms:created xsi:type="dcterms:W3CDTF">2025-01-29T15:06:00Z</dcterms:created>
  <dcterms:modified xsi:type="dcterms:W3CDTF">2025-02-21T08:08:00Z</dcterms:modified>
</cp:coreProperties>
</file>