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CD5E5" w14:textId="77777777" w:rsidR="000966AF" w:rsidRPr="00223692" w:rsidRDefault="000966AF" w:rsidP="008C1E80">
      <w:pPr>
        <w:spacing w:after="0" w:line="240" w:lineRule="auto"/>
        <w:ind w:firstLine="720"/>
        <w:jc w:val="right"/>
        <w:rPr>
          <w:rFonts w:ascii="Arial" w:hAnsi="Arial" w:cs="Arial"/>
          <w:lang w:val="mk-MK"/>
        </w:rPr>
      </w:pPr>
      <w:r w:rsidRPr="00223692">
        <w:rPr>
          <w:rFonts w:ascii="Arial" w:hAnsi="Arial" w:cs="Arial"/>
          <w:lang w:val="mk-MK"/>
        </w:rPr>
        <w:t xml:space="preserve">     </w:t>
      </w:r>
    </w:p>
    <w:p w14:paraId="77D07D5D" w14:textId="77777777" w:rsidR="00ED5D21" w:rsidRDefault="00ED5D21" w:rsidP="000966AF">
      <w:pPr>
        <w:spacing w:line="240" w:lineRule="auto"/>
        <w:ind w:firstLine="720"/>
        <w:jc w:val="both"/>
        <w:rPr>
          <w:rFonts w:ascii="Arial" w:hAnsi="Arial" w:cs="Arial"/>
          <w:lang w:val="mk-MK"/>
        </w:rPr>
      </w:pPr>
    </w:p>
    <w:p w14:paraId="365F4900" w14:textId="77777777" w:rsidR="00ED5D21" w:rsidRDefault="00ED5D21" w:rsidP="000966AF">
      <w:pPr>
        <w:spacing w:line="240" w:lineRule="auto"/>
        <w:ind w:firstLine="720"/>
        <w:jc w:val="both"/>
        <w:rPr>
          <w:rFonts w:ascii="Arial" w:hAnsi="Arial" w:cs="Arial"/>
          <w:lang w:val="mk-MK"/>
        </w:rPr>
      </w:pPr>
    </w:p>
    <w:p w14:paraId="27A68211" w14:textId="704630C3" w:rsidR="000966AF" w:rsidRPr="00223692" w:rsidRDefault="000966AF" w:rsidP="000966AF">
      <w:pPr>
        <w:spacing w:line="240" w:lineRule="auto"/>
        <w:ind w:firstLine="720"/>
        <w:jc w:val="both"/>
        <w:rPr>
          <w:rFonts w:ascii="Arial" w:hAnsi="Arial" w:cs="Arial"/>
          <w:lang w:val="mk-MK"/>
        </w:rPr>
      </w:pPr>
      <w:r w:rsidRPr="00223692">
        <w:rPr>
          <w:rFonts w:ascii="Arial" w:hAnsi="Arial" w:cs="Arial"/>
          <w:lang w:val="mk-MK"/>
        </w:rPr>
        <w:t xml:space="preserve">Bazuar në nenin 18 paragrafi 1 alineja 22 dhe neni 20 paragrafi 1 rreshtat 1 dhe 15 të Ligjit për shërbimet mediatike audio dhe audiovizive (“ </w:t>
      </w:r>
      <w:bookmarkStart w:id="0" w:name="_Hlk173145596"/>
      <w:r w:rsidR="00DE583E" w:rsidRPr="00870091">
        <w:rPr>
          <w:rFonts w:ascii="Arial" w:eastAsia="Arial" w:hAnsi="Arial" w:cs="Arial"/>
        </w:rPr>
        <w:t xml:space="preserve">Gazeta Zyrtare ”) në </w:t>
      </w:r>
      <w:r w:rsidR="00DE583E" w:rsidRPr="00870091">
        <w:rPr>
          <w:rFonts w:ascii="Arial" w:eastAsia="Arial" w:hAnsi="Arial" w:cs="Arial"/>
          <w:lang w:val="mk-MK"/>
        </w:rPr>
        <w:t xml:space="preserve">RM </w:t>
      </w:r>
      <w:r w:rsidR="00DE583E" w:rsidRPr="00870091">
        <w:rPr>
          <w:rFonts w:ascii="Arial" w:eastAsia="Arial" w:hAnsi="Arial" w:cs="Arial"/>
        </w:rPr>
        <w:t xml:space="preserve">"Nr. 184/13, 13/14, 44/14, 101/14, 132/14, 142/16, 132/17, 168/18, 248/18 dhe 27/19 dhe Gazeta Zyrtare në </w:t>
      </w:r>
      <w:r w:rsidR="00DE583E" w:rsidRPr="00870091">
        <w:rPr>
          <w:rFonts w:ascii="Arial" w:eastAsia="Arial" w:hAnsi="Arial" w:cs="Arial"/>
          <w:lang w:val="mk-MK"/>
        </w:rPr>
        <w:t xml:space="preserve">RSM </w:t>
      </w:r>
      <w:r w:rsidR="00DE583E" w:rsidRPr="00870091">
        <w:rPr>
          <w:rFonts w:ascii="Arial" w:eastAsia="Arial" w:hAnsi="Arial" w:cs="Arial"/>
        </w:rPr>
        <w:t xml:space="preserve">"Nr. 42/20 </w:t>
      </w:r>
      <w:r w:rsidR="00DE583E" w:rsidRPr="00870091">
        <w:rPr>
          <w:rFonts w:ascii="Arial" w:eastAsia="Arial" w:hAnsi="Arial" w:cs="Arial"/>
          <w:lang w:val="mk-MK"/>
        </w:rPr>
        <w:t xml:space="preserve">, 77/21, 154/23, 55/24 dhe 193/24 </w:t>
      </w:r>
      <w:r w:rsidR="00DE583E" w:rsidRPr="00870091">
        <w:rPr>
          <w:rFonts w:ascii="Arial" w:eastAsia="Arial" w:hAnsi="Arial" w:cs="Arial"/>
        </w:rPr>
        <w:t xml:space="preserve">) , neni 15 paragrafi 1 rreshti 19 dhe neni 39 paragrafi 1 rreshtat </w:t>
      </w:r>
      <w:bookmarkEnd w:id="0"/>
      <w:r w:rsidR="00973F00">
        <w:rPr>
          <w:rFonts w:ascii="Arial" w:hAnsi="Arial" w:cs="Arial"/>
          <w:lang w:val="sq-AL"/>
        </w:rPr>
        <w:t xml:space="preserve">1 </w:t>
      </w:r>
      <w:r w:rsidRPr="00223692">
        <w:rPr>
          <w:rFonts w:ascii="Arial" w:hAnsi="Arial" w:cs="Arial"/>
          <w:lang w:val="mk-MK"/>
        </w:rPr>
        <w:t xml:space="preserve">dhe 15 të Rregullores së Punës së Agjencisë për Shërbime Audio dhe Audiovizuale .2/30 9.07.2019, dhe në përputhje me Konkluzionin e Këshillit të Agjencisë </w:t>
      </w:r>
      <w:r w:rsidR="00110ED8">
        <w:rPr>
          <w:rFonts w:ascii="Arial" w:hAnsi="Arial" w:cs="Arial"/>
          <w:lang w:val="en-US"/>
        </w:rPr>
        <w:t xml:space="preserve">ark.nr.02-5197 </w:t>
      </w:r>
      <w:proofErr w:type="spellStart"/>
      <w:r w:rsidR="00110ED8">
        <w:rPr>
          <w:rFonts w:ascii="Arial" w:hAnsi="Arial" w:cs="Arial"/>
          <w:lang w:val="en-US"/>
        </w:rPr>
        <w:t>dat</w:t>
      </w:r>
      <w:proofErr w:type="spellEnd"/>
      <w:r w:rsidR="00110ED8">
        <w:rPr>
          <w:rFonts w:ascii="Arial" w:hAnsi="Arial" w:cs="Arial"/>
          <w:lang w:val="sq-AL"/>
        </w:rPr>
        <w:t>ë 26.12.2024, drejtori i Agjecisë miratoi</w:t>
      </w:r>
    </w:p>
    <w:p w14:paraId="39D891C7" w14:textId="77777777" w:rsidR="000966AF" w:rsidRPr="00223692" w:rsidRDefault="000966AF" w:rsidP="000966AF">
      <w:pPr>
        <w:spacing w:line="240" w:lineRule="auto"/>
        <w:ind w:firstLine="720"/>
        <w:jc w:val="both"/>
        <w:rPr>
          <w:rFonts w:ascii="Arial" w:hAnsi="Arial" w:cs="Arial"/>
          <w:sz w:val="2"/>
          <w:lang w:val="mk-MK"/>
        </w:rPr>
      </w:pPr>
    </w:p>
    <w:p w14:paraId="445D63B2" w14:textId="403474A6" w:rsidR="000966AF" w:rsidRPr="00110ED8" w:rsidRDefault="000A0530" w:rsidP="000966AF">
      <w:pPr>
        <w:spacing w:after="0" w:line="240" w:lineRule="auto"/>
        <w:jc w:val="center"/>
        <w:rPr>
          <w:rFonts w:ascii="Arial" w:hAnsi="Arial" w:cs="Arial"/>
          <w:b/>
          <w:lang w:val="sq-AL"/>
        </w:rPr>
      </w:pPr>
      <w:r w:rsidRPr="00223692">
        <w:rPr>
          <w:rFonts w:ascii="Arial" w:hAnsi="Arial" w:cs="Arial"/>
          <w:lang w:val="mk-MK"/>
        </w:rPr>
        <w:t xml:space="preserve"> </w:t>
      </w:r>
      <w:r w:rsidR="002E6352">
        <w:rPr>
          <w:rFonts w:ascii="Arial" w:hAnsi="Arial" w:cs="Arial"/>
        </w:rPr>
        <w:t xml:space="preserve"> </w:t>
      </w:r>
      <w:r w:rsidR="003525A6">
        <w:rPr>
          <w:rFonts w:ascii="Arial" w:hAnsi="Arial" w:cs="Arial"/>
          <w:lang w:val="mk-MK"/>
        </w:rPr>
        <w:t xml:space="preserve">   </w:t>
      </w:r>
      <w:r w:rsidR="000966AF" w:rsidRPr="00223692">
        <w:rPr>
          <w:rFonts w:ascii="Arial" w:hAnsi="Arial" w:cs="Arial"/>
          <w:b/>
          <w:lang w:val="mk-MK"/>
        </w:rPr>
        <w:t xml:space="preserve">Plan vjetor për vlerësimin e rreziqeve </w:t>
      </w:r>
      <w:r w:rsidR="001E5DF6">
        <w:rPr>
          <w:rFonts w:ascii="Arial" w:hAnsi="Arial" w:cs="Arial"/>
          <w:b/>
          <w:lang w:val="sq-AL"/>
        </w:rPr>
        <w:t>nga</w:t>
      </w:r>
      <w:r w:rsidR="000966AF" w:rsidRPr="00223692">
        <w:rPr>
          <w:rFonts w:ascii="Arial" w:hAnsi="Arial" w:cs="Arial"/>
          <w:b/>
          <w:lang w:val="mk-MK"/>
        </w:rPr>
        <w:t xml:space="preserve"> korrupsionit</w:t>
      </w:r>
      <w:r w:rsidR="00110ED8">
        <w:rPr>
          <w:rFonts w:ascii="Arial" w:hAnsi="Arial" w:cs="Arial"/>
          <w:b/>
          <w:lang w:val="sq-AL"/>
        </w:rPr>
        <w:t xml:space="preserve"> të</w:t>
      </w:r>
    </w:p>
    <w:p w14:paraId="4DC68CCA" w14:textId="5E15A552" w:rsidR="000966AF" w:rsidRPr="00223692" w:rsidRDefault="000966AF" w:rsidP="000966AF">
      <w:pPr>
        <w:spacing w:after="0" w:line="240" w:lineRule="auto"/>
        <w:jc w:val="center"/>
        <w:rPr>
          <w:rFonts w:ascii="Arial" w:hAnsi="Arial" w:cs="Arial"/>
          <w:b/>
          <w:lang w:val="mk-MK"/>
        </w:rPr>
      </w:pPr>
      <w:r w:rsidRPr="00223692">
        <w:rPr>
          <w:rFonts w:ascii="Arial" w:hAnsi="Arial" w:cs="Arial"/>
          <w:b/>
          <w:lang w:val="mk-MK"/>
        </w:rPr>
        <w:t>Agjenci</w:t>
      </w:r>
      <w:r w:rsidR="00110ED8">
        <w:rPr>
          <w:rFonts w:ascii="Arial" w:hAnsi="Arial" w:cs="Arial"/>
          <w:b/>
          <w:lang w:val="sq-AL"/>
        </w:rPr>
        <w:t>së</w:t>
      </w:r>
      <w:r w:rsidRPr="00223692">
        <w:rPr>
          <w:rFonts w:ascii="Arial" w:hAnsi="Arial" w:cs="Arial"/>
          <w:b/>
          <w:lang w:val="mk-MK"/>
        </w:rPr>
        <w:t xml:space="preserve"> për Shërbime Mediatike Audio dhe Audioviz</w:t>
      </w:r>
      <w:r w:rsidR="00110ED8">
        <w:rPr>
          <w:rFonts w:ascii="Arial" w:hAnsi="Arial" w:cs="Arial"/>
          <w:b/>
          <w:lang w:val="sq-AL"/>
        </w:rPr>
        <w:t>uele</w:t>
      </w:r>
      <w:r w:rsidRPr="00223692">
        <w:rPr>
          <w:rFonts w:ascii="Arial" w:hAnsi="Arial" w:cs="Arial"/>
          <w:b/>
          <w:lang w:val="mk-MK"/>
        </w:rPr>
        <w:t xml:space="preserve"> për vitin 2025</w:t>
      </w:r>
    </w:p>
    <w:p w14:paraId="5513F527" w14:textId="77777777" w:rsidR="000966AF" w:rsidRPr="00223692" w:rsidRDefault="000966AF" w:rsidP="000966AF">
      <w:pPr>
        <w:spacing w:after="0" w:line="240" w:lineRule="auto"/>
        <w:jc w:val="center"/>
        <w:rPr>
          <w:rFonts w:ascii="Arial" w:hAnsi="Arial" w:cs="Arial"/>
          <w:b/>
          <w:lang w:val="mk-MK"/>
        </w:rPr>
      </w:pPr>
    </w:p>
    <w:p w14:paraId="79B0B5DA" w14:textId="77777777" w:rsidR="000966AF" w:rsidRPr="00223692" w:rsidRDefault="000966AF" w:rsidP="000966AF">
      <w:pPr>
        <w:spacing w:after="0" w:line="240" w:lineRule="auto"/>
        <w:jc w:val="both"/>
        <w:rPr>
          <w:rFonts w:ascii="Arial" w:hAnsi="Arial" w:cs="Arial"/>
          <w:b/>
          <w:lang w:val="mk-MK"/>
        </w:rPr>
      </w:pPr>
    </w:p>
    <w:p w14:paraId="0B3D607D" w14:textId="77777777" w:rsidR="00460451" w:rsidRPr="00223692" w:rsidRDefault="00460451" w:rsidP="000966AF">
      <w:pPr>
        <w:spacing w:after="0" w:line="240" w:lineRule="auto"/>
        <w:jc w:val="both"/>
        <w:rPr>
          <w:rFonts w:ascii="Arial" w:hAnsi="Arial" w:cs="Arial"/>
          <w:b/>
          <w:lang w:val="mk-MK"/>
        </w:rPr>
      </w:pPr>
    </w:p>
    <w:p w14:paraId="4CAB4B4A" w14:textId="77777777" w:rsidR="000966AF" w:rsidRPr="00223692" w:rsidRDefault="000966AF" w:rsidP="000966AF">
      <w:pPr>
        <w:spacing w:after="0" w:line="240" w:lineRule="auto"/>
        <w:ind w:firstLine="720"/>
        <w:jc w:val="both"/>
        <w:rPr>
          <w:rFonts w:ascii="Arial" w:hAnsi="Arial" w:cs="Arial"/>
          <w:b/>
          <w:lang w:val="mk-MK"/>
        </w:rPr>
      </w:pPr>
      <w:r w:rsidRPr="00223692">
        <w:rPr>
          <w:rFonts w:ascii="Arial" w:hAnsi="Arial" w:cs="Arial"/>
          <w:b/>
          <w:lang w:val="mk-MK"/>
        </w:rPr>
        <w:t>1. Hyrje</w:t>
      </w:r>
    </w:p>
    <w:p w14:paraId="62743258" w14:textId="77777777" w:rsidR="000966AF" w:rsidRPr="00223692" w:rsidRDefault="000966AF" w:rsidP="000966AF">
      <w:pPr>
        <w:spacing w:after="0" w:line="240" w:lineRule="auto"/>
        <w:ind w:firstLine="720"/>
        <w:jc w:val="both"/>
        <w:rPr>
          <w:rFonts w:ascii="Arial" w:hAnsi="Arial" w:cs="Arial"/>
          <w:b/>
          <w:lang w:val="mk-MK"/>
        </w:rPr>
      </w:pPr>
    </w:p>
    <w:p w14:paraId="1EBC395B" w14:textId="7A805523" w:rsidR="000966AF" w:rsidRPr="00223692" w:rsidRDefault="000966AF" w:rsidP="000966AF">
      <w:pPr>
        <w:spacing w:after="0" w:line="276" w:lineRule="auto"/>
        <w:ind w:firstLine="720"/>
        <w:jc w:val="both"/>
        <w:rPr>
          <w:rFonts w:ascii="Arial" w:hAnsi="Arial" w:cs="Arial"/>
          <w:lang w:val="mk-MK"/>
        </w:rPr>
      </w:pPr>
      <w:r w:rsidRPr="00223692">
        <w:rPr>
          <w:rFonts w:ascii="Arial" w:hAnsi="Arial" w:cs="Arial"/>
          <w:lang w:val="mk-MK"/>
        </w:rPr>
        <w:t>Agjencia për Shërbimet Mediatike Audio dhe Audioviz</w:t>
      </w:r>
      <w:r w:rsidR="0092197F">
        <w:rPr>
          <w:rFonts w:ascii="Arial" w:hAnsi="Arial" w:cs="Arial"/>
          <w:lang w:val="sq-AL"/>
        </w:rPr>
        <w:t>uele</w:t>
      </w:r>
      <w:r w:rsidRPr="00223692">
        <w:rPr>
          <w:rFonts w:ascii="Arial" w:hAnsi="Arial" w:cs="Arial"/>
          <w:lang w:val="mk-MK"/>
        </w:rPr>
        <w:t xml:space="preserve"> (Agjencia) si një organ rregullator i pavarur që operon me ekspertizë, profesionalizëm dhe në përputhje me standardet e larta, siguron zbatimin konsistent të legjislacionit të medias, së bashku me subjektet e tjera në industrinë e medias, inkurajon lirinë e shprehjes, lirinë e medias, shkrim-leximin mediatik, diversitetin dhe cilësinë e përmbajtjes mediatike që plotëson interesin dhe nevojat e publikut në fushën e audios dhe zhvillimit pa probleme të audiencës shërbimet mediatike.</w:t>
      </w:r>
    </w:p>
    <w:p w14:paraId="35F1144D" w14:textId="77777777" w:rsidR="000966AF" w:rsidRPr="00223692" w:rsidRDefault="000966AF" w:rsidP="000966AF">
      <w:pPr>
        <w:spacing w:after="0" w:line="276" w:lineRule="auto"/>
        <w:ind w:firstLine="720"/>
        <w:jc w:val="both"/>
        <w:rPr>
          <w:rFonts w:ascii="Arial" w:hAnsi="Arial" w:cs="Arial"/>
          <w:lang w:val="mk-MK"/>
        </w:rPr>
      </w:pPr>
      <w:r w:rsidRPr="00223692">
        <w:rPr>
          <w:rFonts w:ascii="Arial" w:hAnsi="Arial" w:cs="Arial"/>
          <w:lang w:val="mk-MK"/>
        </w:rPr>
        <w:t>Nisur nga fakti se korrupsioni kërcënon të drejtat që i takojnë qytetarëve, derogon ligjet dhe pamundëson drejtësinë, varfëron shoqërinë, cenon shtetin e së drejtës dhe të ardhmen e tij, është e nevojshme që lufta kundër korrupsionit të jetë detyrim i përhershëm i çdo qytetari dhe institucioni.</w:t>
      </w:r>
    </w:p>
    <w:p w14:paraId="7CA4A94F" w14:textId="77777777" w:rsidR="000966AF" w:rsidRPr="00D64F67" w:rsidRDefault="00AA5F0B" w:rsidP="000966AF">
      <w:pPr>
        <w:spacing w:after="0" w:line="276" w:lineRule="auto"/>
        <w:ind w:firstLine="720"/>
        <w:jc w:val="both"/>
        <w:rPr>
          <w:rFonts w:ascii="Arial" w:hAnsi="Arial" w:cs="Arial"/>
          <w:lang w:val="mk-MK"/>
        </w:rPr>
      </w:pPr>
      <w:r>
        <w:rPr>
          <w:rFonts w:ascii="Arial" w:hAnsi="Arial" w:cs="Arial"/>
          <w:lang w:val="mk-MK"/>
        </w:rPr>
        <w:t xml:space="preserve">Agjencia, me qëllim të veprimit paraprakisht parandalues në drejtim të zvogëlimit të rreziqeve nga korrupsioni, duke vepruar në përputhje me detyrimin në Fragmentin nga Procesverbali i seancës së pesëdhjetë e pestë të Qeverisë së Republikës së Maqedonisë së Veriut, të mbajtur më 28.06.2022, nr. 41-17/525, nr. duke filluar nga viti 2022, çdo vit sjell Planin Vjetor të Vlerësimit të Rrezikut </w:t>
      </w:r>
      <w:r w:rsidR="000130AC" w:rsidRPr="00D64F67">
        <w:rPr>
          <w:rFonts w:ascii="Arial" w:hAnsi="Arial" w:cs="Arial"/>
        </w:rPr>
        <w:t xml:space="preserve">të Korrupsionit </w:t>
      </w:r>
      <w:r w:rsidR="000130AC" w:rsidRPr="00D64F67">
        <w:rPr>
          <w:rFonts w:ascii="Arial" w:hAnsi="Arial" w:cs="Arial"/>
          <w:lang w:val="mk-MK"/>
        </w:rPr>
        <w:t xml:space="preserve">(ACAP) </w:t>
      </w:r>
      <w:r w:rsidR="00027C25">
        <w:rPr>
          <w:rStyle w:val="FootnoteReference"/>
          <w:rFonts w:ascii="Arial" w:hAnsi="Arial" w:cs="Arial"/>
          <w:lang w:val="mk-MK"/>
        </w:rPr>
        <w:footnoteReference w:id="1"/>
      </w:r>
      <w:r w:rsidR="000130AC" w:rsidRPr="00D64F67">
        <w:rPr>
          <w:rFonts w:ascii="Arial" w:hAnsi="Arial" w:cs="Arial"/>
          <w:lang w:val="mk-MK"/>
        </w:rPr>
        <w:t>të Agjencisë, i cili publikohet në faqen e saj.</w:t>
      </w:r>
    </w:p>
    <w:p w14:paraId="5419B1E5" w14:textId="77777777" w:rsidR="00ED5D21" w:rsidRDefault="00ED5D21" w:rsidP="000966AF">
      <w:pPr>
        <w:spacing w:after="0"/>
        <w:ind w:firstLine="720"/>
        <w:jc w:val="both"/>
        <w:rPr>
          <w:rFonts w:ascii="Arial" w:hAnsi="Arial" w:cs="Arial"/>
          <w:lang w:val="mk-MK"/>
        </w:rPr>
      </w:pPr>
    </w:p>
    <w:p w14:paraId="0DE3D49F" w14:textId="77777777" w:rsidR="00ED5D21" w:rsidRDefault="00ED5D21" w:rsidP="000966AF">
      <w:pPr>
        <w:spacing w:after="0"/>
        <w:ind w:firstLine="720"/>
        <w:jc w:val="both"/>
        <w:rPr>
          <w:rFonts w:ascii="Arial" w:hAnsi="Arial" w:cs="Arial"/>
          <w:lang w:val="mk-MK"/>
        </w:rPr>
      </w:pPr>
    </w:p>
    <w:p w14:paraId="540025A6" w14:textId="78CA8F2E" w:rsidR="000966AF" w:rsidRPr="00223692" w:rsidRDefault="000966AF" w:rsidP="000966AF">
      <w:pPr>
        <w:spacing w:after="0"/>
        <w:ind w:firstLine="720"/>
        <w:jc w:val="both"/>
        <w:rPr>
          <w:rFonts w:ascii="Arial" w:hAnsi="Arial" w:cs="Arial"/>
          <w:lang w:val="mk-MK"/>
        </w:rPr>
      </w:pPr>
      <w:r w:rsidRPr="00223692">
        <w:rPr>
          <w:rFonts w:ascii="Arial" w:hAnsi="Arial" w:cs="Arial"/>
          <w:lang w:val="mk-MK"/>
        </w:rPr>
        <w:t xml:space="preserve">Agjencia në 2025 do të vazhdojë të aplikojë mekanizma që do të reduktojnë rreziqet e korrupsionit në zonat tashmë të përcaktuara të rrezikut të korrupsionit brenda juridiksionit dhe </w:t>
      </w:r>
      <w:r w:rsidRPr="00223692">
        <w:rPr>
          <w:rFonts w:ascii="Arial" w:hAnsi="Arial" w:cs="Arial"/>
          <w:lang w:val="mk-MK"/>
        </w:rPr>
        <w:lastRenderedPageBreak/>
        <w:t>fushëveprimit të tij, si dhe do të identifikojë rreziqe të reja dhe masa dhe aktivitete të përshtatshme për të kontrolluar dhe parandaluar shfaqjen e korrupsionit. Në këtë drejtim, mekanizmat e efektshëm dhe funksional do të aplikohen në një mënyrë parandaluese dhe shtypëse që do të zvogëlojë rreziqet e korrupsionit, duke pasur Transparenca në punën e transmetuesve.</w:t>
      </w:r>
    </w:p>
    <w:p w14:paraId="24B12527" w14:textId="77777777" w:rsidR="000966AF" w:rsidRPr="00223692" w:rsidRDefault="000966AF" w:rsidP="000966AF">
      <w:pPr>
        <w:spacing w:after="0"/>
        <w:ind w:firstLine="720"/>
        <w:jc w:val="both"/>
        <w:rPr>
          <w:rFonts w:ascii="Arial" w:hAnsi="Arial" w:cs="Arial"/>
          <w:lang w:val="mk-MK"/>
        </w:rPr>
      </w:pPr>
      <w:r w:rsidRPr="00223692">
        <w:rPr>
          <w:rFonts w:ascii="Arial" w:hAnsi="Arial" w:cs="Arial"/>
          <w:lang w:val="mk-MK"/>
        </w:rPr>
        <w:t>Aktivitetet kundër korrupsionit të Agjencisë në vitin 2025 do të konsiderohen nga dy aspekte:</w:t>
      </w:r>
    </w:p>
    <w:p w14:paraId="3AEB0676" w14:textId="77777777" w:rsidR="000966AF" w:rsidRPr="00223692" w:rsidRDefault="000966AF" w:rsidP="00393FAB">
      <w:pPr>
        <w:pStyle w:val="ListParagraph"/>
        <w:numPr>
          <w:ilvl w:val="0"/>
          <w:numId w:val="2"/>
        </w:numPr>
        <w:spacing w:after="0" w:line="240" w:lineRule="auto"/>
        <w:jc w:val="both"/>
        <w:rPr>
          <w:rFonts w:ascii="Arial" w:hAnsi="Arial" w:cs="Arial"/>
          <w:lang w:val="mk-MK"/>
        </w:rPr>
      </w:pPr>
      <w:r w:rsidRPr="00223692">
        <w:rPr>
          <w:rFonts w:ascii="Arial" w:hAnsi="Arial" w:cs="Arial"/>
          <w:lang w:val="mk-MK"/>
        </w:rPr>
        <w:t>Aspekti i jashtëm, pra çfarë aktivitetesh ndërmerr Agjencia që kanë të bëjnë me mjedisin e jashtëm (jashtë Agjencisë), çfarë mund të bëjë Agjencia në nivel kombëtar në lidhje me veprimtarinë me interes publik dhe</w:t>
      </w:r>
    </w:p>
    <w:p w14:paraId="6563A6AB" w14:textId="77777777" w:rsidR="000966AF" w:rsidRPr="00223692" w:rsidRDefault="000966AF" w:rsidP="00393FAB">
      <w:pPr>
        <w:pStyle w:val="ListParagraph"/>
        <w:numPr>
          <w:ilvl w:val="0"/>
          <w:numId w:val="2"/>
        </w:numPr>
        <w:spacing w:after="0" w:line="240" w:lineRule="auto"/>
        <w:jc w:val="both"/>
        <w:rPr>
          <w:rFonts w:ascii="Arial" w:hAnsi="Arial" w:cs="Arial"/>
          <w:lang w:val="mk-MK"/>
        </w:rPr>
      </w:pPr>
      <w:r w:rsidRPr="00223692">
        <w:rPr>
          <w:rFonts w:ascii="Arial" w:hAnsi="Arial" w:cs="Arial"/>
          <w:lang w:val="mk-MK"/>
        </w:rPr>
        <w:t>Aspekti i brendshëm, pra çfarë masash do të marrë për të parandaluar dhe ndaluar korrupsionin nga brenda vetë institucionit.</w:t>
      </w:r>
    </w:p>
    <w:p w14:paraId="3AFDEB1A" w14:textId="77777777" w:rsidR="00C14EC6" w:rsidRPr="00223692" w:rsidRDefault="00C14EC6" w:rsidP="000966AF">
      <w:pPr>
        <w:spacing w:after="0" w:line="240" w:lineRule="auto"/>
        <w:jc w:val="both"/>
        <w:rPr>
          <w:rFonts w:ascii="Arial" w:hAnsi="Arial" w:cs="Arial"/>
          <w:b/>
          <w:lang w:val="mk-MK"/>
        </w:rPr>
      </w:pPr>
    </w:p>
    <w:p w14:paraId="3A311D63" w14:textId="77777777" w:rsidR="001C475A" w:rsidRPr="00223692" w:rsidRDefault="001C475A" w:rsidP="000966AF">
      <w:pPr>
        <w:spacing w:after="0" w:line="240" w:lineRule="auto"/>
        <w:jc w:val="both"/>
        <w:rPr>
          <w:rFonts w:ascii="Arial" w:hAnsi="Arial" w:cs="Arial"/>
          <w:b/>
          <w:lang w:val="mk-MK"/>
        </w:rPr>
      </w:pPr>
    </w:p>
    <w:p w14:paraId="094129BF" w14:textId="77777777" w:rsidR="000966AF" w:rsidRDefault="000966AF" w:rsidP="000A0530">
      <w:pPr>
        <w:spacing w:after="0" w:line="240" w:lineRule="auto"/>
        <w:jc w:val="center"/>
        <w:rPr>
          <w:rFonts w:ascii="Arial" w:hAnsi="Arial" w:cs="Arial"/>
          <w:b/>
          <w:lang w:val="mk-MK"/>
        </w:rPr>
      </w:pPr>
      <w:r w:rsidRPr="00223692">
        <w:rPr>
          <w:rFonts w:ascii="Arial" w:hAnsi="Arial" w:cs="Arial"/>
          <w:b/>
          <w:lang w:val="mk-MK"/>
        </w:rPr>
        <w:t xml:space="preserve">2. Aktivitetet e realizuara dhe masat e zbatuara të Agjencisë, në përputhje me Planin e Veprimit për vitin 2024 </w:t>
      </w:r>
      <w:r w:rsidRPr="00223692">
        <w:rPr>
          <w:rFonts w:ascii="Arial" w:hAnsi="Arial" w:cs="Arial"/>
          <w:b/>
        </w:rPr>
        <w:t xml:space="preserve">, </w:t>
      </w:r>
      <w:r w:rsidRPr="00223692">
        <w:rPr>
          <w:rFonts w:ascii="Arial" w:hAnsi="Arial" w:cs="Arial"/>
          <w:b/>
          <w:lang w:val="mk-MK"/>
        </w:rPr>
        <w:t>aneks i Planit Vjetor të Vlerësimit të Rrezikut të Korrupsionit të Agjencisë për vitin 2024.</w:t>
      </w:r>
    </w:p>
    <w:p w14:paraId="23EB4281" w14:textId="77777777" w:rsidR="006736E9" w:rsidRPr="00223692" w:rsidRDefault="006736E9" w:rsidP="000A0530">
      <w:pPr>
        <w:spacing w:after="0" w:line="240" w:lineRule="auto"/>
        <w:jc w:val="center"/>
        <w:rPr>
          <w:rFonts w:ascii="Arial" w:hAnsi="Arial" w:cs="Arial"/>
          <w:b/>
          <w:lang w:val="mk-MK"/>
        </w:rPr>
      </w:pPr>
    </w:p>
    <w:p w14:paraId="13631899" w14:textId="77777777" w:rsidR="000966AF" w:rsidRPr="00223692" w:rsidRDefault="000966AF" w:rsidP="000966AF">
      <w:pPr>
        <w:spacing w:after="0" w:line="240" w:lineRule="auto"/>
        <w:rPr>
          <w:rFonts w:ascii="Arial" w:hAnsi="Arial" w:cs="Arial"/>
          <w:b/>
          <w:lang w:val="mk-MK"/>
        </w:rPr>
      </w:pPr>
    </w:p>
    <w:p w14:paraId="5BB34EDE" w14:textId="77777777" w:rsidR="00EE5EE1" w:rsidRPr="00223692" w:rsidRDefault="000966AF" w:rsidP="00B961EE">
      <w:pPr>
        <w:spacing w:line="240" w:lineRule="auto"/>
        <w:ind w:firstLine="720"/>
        <w:jc w:val="both"/>
        <w:rPr>
          <w:rFonts w:ascii="Arial" w:hAnsi="Arial" w:cs="Arial"/>
          <w:lang w:val="mk-MK"/>
        </w:rPr>
      </w:pPr>
      <w:r w:rsidRPr="00223692">
        <w:rPr>
          <w:rFonts w:ascii="Arial" w:hAnsi="Arial" w:cs="Arial"/>
          <w:u w:val="single"/>
          <w:lang w:val="mk-MK"/>
        </w:rPr>
        <w:t xml:space="preserve">Agjencia në 2024 sipas Planit të Veprimit për vitin 2024. </w:t>
      </w:r>
      <w:r w:rsidRPr="00223692">
        <w:rPr>
          <w:rFonts w:ascii="Arial" w:hAnsi="Arial" w:cs="Arial"/>
          <w:lang w:val="mk-MK"/>
        </w:rPr>
        <w:t xml:space="preserve">, shtojcë e Planit Vjetor të Vlerësimit të Rrezikut të Korrupsionit të Agjencisë për vitin 2024. i cili përmban një pasqyrë të rrezikut, aktiviteteve, masave, palëve përgjegjëse/njësive organizative kompetente, afatit të zbatimit, implikimeve financiare dhe vlerësimit të riskut, </w:t>
      </w:r>
      <w:r w:rsidRPr="00223692">
        <w:rPr>
          <w:rFonts w:ascii="Arial" w:hAnsi="Arial" w:cs="Arial"/>
          <w:u w:val="single"/>
          <w:lang w:val="mk-MK"/>
        </w:rPr>
        <w:t xml:space="preserve">brenda fushave që ka zbatuar aktivitetet e mëposhtme </w:t>
      </w:r>
      <w:r w:rsidRPr="00223692">
        <w:rPr>
          <w:rFonts w:ascii="Arial" w:hAnsi="Arial" w:cs="Arial"/>
          <w:lang w:val="mk-MK"/>
        </w:rPr>
        <w:t>, si më poshtë:</w:t>
      </w:r>
    </w:p>
    <w:p w14:paraId="08E577B7" w14:textId="77777777" w:rsidR="000966AF" w:rsidRPr="00223692" w:rsidRDefault="000966AF" w:rsidP="00393FAB">
      <w:pPr>
        <w:pStyle w:val="ListParagraph"/>
        <w:numPr>
          <w:ilvl w:val="0"/>
          <w:numId w:val="4"/>
        </w:numPr>
        <w:spacing w:after="0" w:line="240" w:lineRule="auto"/>
        <w:jc w:val="both"/>
        <w:rPr>
          <w:rFonts w:ascii="Arial" w:hAnsi="Arial" w:cs="Arial"/>
          <w:u w:val="single"/>
          <w:lang w:val="mk-MK"/>
        </w:rPr>
      </w:pPr>
      <w:r w:rsidRPr="00223692">
        <w:rPr>
          <w:rFonts w:ascii="Arial" w:eastAsia="Times New Roman" w:hAnsi="Arial" w:cs="Arial"/>
          <w:u w:val="single"/>
          <w:lang w:val="mk-MK"/>
        </w:rPr>
        <w:t>Në fushën 1: Integriteti individual dhe institucional,</w:t>
      </w:r>
    </w:p>
    <w:p w14:paraId="662E4B85" w14:textId="47EA720F" w:rsidR="001B7A4E" w:rsidRPr="007C78B9" w:rsidRDefault="00060597" w:rsidP="007C78B9">
      <w:pPr>
        <w:pStyle w:val="ListParagraph"/>
        <w:numPr>
          <w:ilvl w:val="0"/>
          <w:numId w:val="10"/>
        </w:numPr>
        <w:spacing w:after="0" w:line="240" w:lineRule="auto"/>
        <w:jc w:val="both"/>
        <w:rPr>
          <w:rFonts w:ascii="Arial" w:hAnsi="Arial" w:cs="Arial"/>
          <w:lang w:val="mk-MK"/>
        </w:rPr>
      </w:pPr>
      <w:r w:rsidRPr="007C78B9">
        <w:rPr>
          <w:rFonts w:ascii="Arial" w:eastAsia="Times New Roman" w:hAnsi="Arial" w:cs="Arial"/>
          <w:lang w:val="mk-MK"/>
        </w:rPr>
        <w:t xml:space="preserve">në lidhje me </w:t>
      </w:r>
      <w:r w:rsidRPr="007C78B9">
        <w:rPr>
          <w:rFonts w:ascii="Arial" w:eastAsia="Times New Roman" w:hAnsi="Arial" w:cs="Arial"/>
          <w:u w:val="single"/>
          <w:lang w:val="mk-MK"/>
        </w:rPr>
        <w:t>veprimtarinë</w:t>
      </w:r>
      <w:r w:rsidRPr="007C78B9">
        <w:rPr>
          <w:rFonts w:ascii="Arial" w:eastAsia="Times New Roman" w:hAnsi="Arial" w:cs="Arial"/>
          <w:lang w:val="sq-AL"/>
        </w:rPr>
        <w:t xml:space="preserve"> </w:t>
      </w:r>
      <w:r w:rsidRPr="007C78B9">
        <w:rPr>
          <w:rFonts w:ascii="Arial" w:eastAsia="Times New Roman" w:hAnsi="Arial" w:cs="Arial"/>
          <w:b/>
          <w:lang w:val="mk-MK"/>
        </w:rPr>
        <w:t xml:space="preserve">Promovimi i integritetit dhe etikës personale dhe profesionale të punonjësve dhe personave të emëruar </w:t>
      </w:r>
      <w:r w:rsidR="00910EE9" w:rsidRPr="007C78B9">
        <w:rPr>
          <w:rFonts w:ascii="Arial" w:eastAsia="Times New Roman" w:hAnsi="Arial" w:cs="Arial"/>
          <w:lang w:val="mk-MK"/>
        </w:rPr>
        <w:t xml:space="preserve">, </w:t>
      </w:r>
      <w:r w:rsidR="00910EE9" w:rsidRPr="007C78B9">
        <w:rPr>
          <w:rFonts w:ascii="Arial" w:hAnsi="Arial" w:cs="Arial"/>
          <w:lang w:val="mk-MK"/>
        </w:rPr>
        <w:t xml:space="preserve">me synimin për të reduktuar </w:t>
      </w:r>
      <w:r w:rsidR="00910EE9" w:rsidRPr="007C78B9">
        <w:rPr>
          <w:rFonts w:ascii="Arial" w:eastAsia="Times New Roman" w:hAnsi="Arial" w:cs="Arial"/>
          <w:u w:val="single"/>
          <w:lang w:val="mk-MK"/>
        </w:rPr>
        <w:t>rrezikun.</w:t>
      </w:r>
      <w:r w:rsidR="00910EE9" w:rsidRPr="007C78B9">
        <w:rPr>
          <w:rFonts w:ascii="Arial" w:hAnsi="Arial" w:cs="Arial"/>
          <w:lang w:val="mk-MK"/>
        </w:rPr>
        <w:t xml:space="preserve"> </w:t>
      </w:r>
      <w:r w:rsidR="00910EE9" w:rsidRPr="007C78B9">
        <w:rPr>
          <w:rFonts w:ascii="Arial" w:hAnsi="Arial" w:cs="Arial"/>
          <w:b/>
          <w:lang w:val="mk-MK"/>
        </w:rPr>
        <w:t xml:space="preserve">Niveli joadekuat i </w:t>
      </w:r>
      <w:r w:rsidR="00910EE9" w:rsidRPr="007C78B9">
        <w:rPr>
          <w:rFonts w:ascii="Arial" w:eastAsia="Times New Roman" w:hAnsi="Arial" w:cs="Arial"/>
          <w:b/>
          <w:lang w:val="mk-MK"/>
        </w:rPr>
        <w:t xml:space="preserve">integritetit personal dhe profesional </w:t>
      </w:r>
      <w:r w:rsidR="00910EE9" w:rsidRPr="007C78B9">
        <w:rPr>
          <w:rFonts w:ascii="Arial" w:hAnsi="Arial" w:cs="Arial"/>
          <w:b/>
          <w:lang w:val="mk-MK"/>
        </w:rPr>
        <w:t xml:space="preserve">të punonjësve dhe personave të emëruar </w:t>
      </w:r>
      <w:r w:rsidR="00910EE9" w:rsidRPr="007C78B9">
        <w:rPr>
          <w:rFonts w:ascii="Arial" w:hAnsi="Arial" w:cs="Arial"/>
          <w:lang w:val="mk-MK"/>
        </w:rPr>
        <w:t xml:space="preserve">, punonjësve të Agjencisë në përputhje me </w:t>
      </w:r>
      <w:r w:rsidR="00A930EE" w:rsidRPr="007C78B9">
        <w:rPr>
          <w:rFonts w:ascii="Arial" w:hAnsi="Arial" w:cs="Arial"/>
        </w:rPr>
        <w:t xml:space="preserve">pikën 4.2 të Manuali për fytyrat për integritet </w:t>
      </w:r>
      <w:r w:rsidR="00F711AB" w:rsidRPr="007C78B9">
        <w:rPr>
          <w:rFonts w:ascii="Arial" w:hAnsi="Arial" w:cs="Arial"/>
          <w:lang w:val="mk-MK"/>
        </w:rPr>
        <w:t>,</w:t>
      </w:r>
      <w:r w:rsidR="00A930EE" w:rsidRPr="007C78B9">
        <w:rPr>
          <w:rFonts w:ascii="Arial" w:hAnsi="Arial" w:cs="Arial"/>
        </w:rPr>
        <w:t xml:space="preserve"> </w:t>
      </w:r>
      <w:r w:rsidR="00857A58" w:rsidRPr="007C78B9">
        <w:rPr>
          <w:rFonts w:ascii="Arial" w:hAnsi="Arial" w:cs="Arial"/>
          <w:lang w:val="mk-MK"/>
        </w:rPr>
        <w:t xml:space="preserve">në janar 2024. </w:t>
      </w:r>
      <w:r w:rsidR="00857A58" w:rsidRPr="007C78B9">
        <w:rPr>
          <w:rFonts w:ascii="Arial" w:eastAsia="Arial" w:hAnsi="Arial" w:cs="Arial"/>
          <w:spacing w:val="-1"/>
          <w:lang w:val="mk-MK"/>
        </w:rPr>
        <w:t xml:space="preserve">nënshkroi </w:t>
      </w:r>
      <w:r w:rsidR="00857A58" w:rsidRPr="007C78B9">
        <w:rPr>
          <w:rFonts w:ascii="Arial" w:eastAsia="Arial" w:hAnsi="Arial" w:cs="Arial"/>
          <w:lang w:val="mk-MK"/>
        </w:rPr>
        <w:t xml:space="preserve">një Deklaratën </w:t>
      </w:r>
      <w:r w:rsidR="00857A58" w:rsidRPr="007C78B9">
        <w:rPr>
          <w:rFonts w:ascii="Arial" w:eastAsia="Arial" w:hAnsi="Arial" w:cs="Arial"/>
          <w:spacing w:val="1"/>
          <w:lang w:val="mk-MK"/>
        </w:rPr>
        <w:t xml:space="preserve">e </w:t>
      </w:r>
      <w:r w:rsidR="00857A58" w:rsidRPr="007C78B9">
        <w:rPr>
          <w:rFonts w:ascii="Arial" w:eastAsia="Arial" w:hAnsi="Arial" w:cs="Arial"/>
          <w:lang w:val="mk-MK"/>
        </w:rPr>
        <w:t xml:space="preserve">Zero </w:t>
      </w:r>
      <w:r w:rsidR="00857A58" w:rsidRPr="007C78B9">
        <w:rPr>
          <w:rFonts w:ascii="Arial" w:eastAsia="Arial" w:hAnsi="Arial" w:cs="Arial"/>
          <w:spacing w:val="-2"/>
          <w:lang w:val="mk-MK"/>
        </w:rPr>
        <w:t xml:space="preserve">Tolerancës </w:t>
      </w:r>
      <w:r w:rsidR="00857A58" w:rsidRPr="007C78B9">
        <w:rPr>
          <w:rFonts w:ascii="Arial" w:hAnsi="Arial" w:cs="Arial"/>
          <w:lang w:val="mk-MK"/>
        </w:rPr>
        <w:t xml:space="preserve">për </w:t>
      </w:r>
      <w:r w:rsidR="00857A58" w:rsidRPr="007C78B9">
        <w:rPr>
          <w:rFonts w:ascii="Arial" w:eastAsia="Arial" w:hAnsi="Arial" w:cs="Arial"/>
          <w:lang w:val="mk-MK"/>
        </w:rPr>
        <w:t xml:space="preserve">Korrupsionin </w:t>
      </w:r>
      <w:r w:rsidR="00857A58" w:rsidRPr="007C78B9">
        <w:rPr>
          <w:rFonts w:ascii="Arial" w:eastAsia="Arial" w:hAnsi="Arial" w:cs="Arial"/>
          <w:spacing w:val="-2"/>
          <w:lang w:val="mk-MK"/>
        </w:rPr>
        <w:t xml:space="preserve">, </w:t>
      </w:r>
      <w:r w:rsidR="00857A58" w:rsidRPr="007C78B9">
        <w:rPr>
          <w:rFonts w:ascii="Arial" w:eastAsia="Arial" w:hAnsi="Arial" w:cs="Arial"/>
          <w:lang w:val="mk-MK"/>
        </w:rPr>
        <w:t xml:space="preserve">duke u angazhuar për </w:t>
      </w:r>
      <w:r w:rsidR="00857A58" w:rsidRPr="007C78B9">
        <w:rPr>
          <w:rFonts w:ascii="Arial" w:eastAsia="Arial" w:hAnsi="Arial" w:cs="Arial"/>
          <w:spacing w:val="-1"/>
          <w:lang w:val="mk-MK"/>
        </w:rPr>
        <w:t xml:space="preserve">respektimin e </w:t>
      </w:r>
      <w:r w:rsidR="00857A58" w:rsidRPr="007C78B9">
        <w:rPr>
          <w:rFonts w:ascii="Arial" w:eastAsia="Arial" w:hAnsi="Arial" w:cs="Arial"/>
          <w:lang w:val="mk-MK"/>
        </w:rPr>
        <w:t xml:space="preserve">standardeve të </w:t>
      </w:r>
      <w:r w:rsidR="00857A58" w:rsidRPr="007C78B9">
        <w:rPr>
          <w:rFonts w:ascii="Arial" w:eastAsia="Arial" w:hAnsi="Arial" w:cs="Arial"/>
          <w:spacing w:val="-1"/>
          <w:lang w:val="mk-MK"/>
        </w:rPr>
        <w:t xml:space="preserve">integritetit </w:t>
      </w:r>
      <w:r w:rsidR="00857A58" w:rsidRPr="007C78B9">
        <w:rPr>
          <w:rFonts w:ascii="Arial" w:eastAsia="Arial" w:hAnsi="Arial" w:cs="Arial"/>
          <w:lang w:val="mk-MK"/>
        </w:rPr>
        <w:t xml:space="preserve">të </w:t>
      </w:r>
      <w:r w:rsidR="00857A58" w:rsidRPr="007C78B9">
        <w:rPr>
          <w:rFonts w:ascii="Arial" w:eastAsia="Arial" w:hAnsi="Arial" w:cs="Arial"/>
          <w:spacing w:val="-1"/>
          <w:lang w:val="mk-MK"/>
        </w:rPr>
        <w:t xml:space="preserve">vendosura nga </w:t>
      </w:r>
      <w:r w:rsidR="00857A58" w:rsidRPr="007C78B9">
        <w:rPr>
          <w:rFonts w:ascii="Arial" w:eastAsia="Arial" w:hAnsi="Arial" w:cs="Arial"/>
          <w:lang w:val="mk-MK"/>
        </w:rPr>
        <w:t xml:space="preserve">në Agjenci dhe </w:t>
      </w:r>
      <w:r w:rsidR="00A930EE" w:rsidRPr="007C78B9">
        <w:rPr>
          <w:rFonts w:ascii="Arial" w:hAnsi="Arial" w:cs="Arial"/>
          <w:lang w:val="mk-MK"/>
        </w:rPr>
        <w:t>promovuan angazhimin e tyre për ndërgjegjësimin për rëndësinë e zbatimit të sistemit të integritetit dhe detyrimet që rrjedhin nga mosrespektimi i standardeve të integritetit, duke i respektuar dhe promovuar ato përmes angazhimeve të qarta.</w:t>
      </w:r>
      <w:r w:rsidR="00F711AB" w:rsidRPr="007C78B9">
        <w:rPr>
          <w:rFonts w:ascii="Arial Narrow" w:hAnsi="Arial Narrow"/>
          <w:lang w:val="mk-MK"/>
        </w:rPr>
        <w:t xml:space="preserve"> </w:t>
      </w:r>
      <w:r w:rsidR="001A69A9" w:rsidRPr="007C78B9">
        <w:rPr>
          <w:rFonts w:ascii="Arial" w:hAnsi="Arial" w:cs="Arial"/>
          <w:lang w:val="mk-MK"/>
        </w:rPr>
        <w:t xml:space="preserve">Gjithashtu, gjatë muajit nëntor 2024, në përputhje me Aneksin 7 </w:t>
      </w:r>
      <w:r w:rsidR="007C78B9" w:rsidRPr="007C78B9">
        <w:rPr>
          <w:rFonts w:ascii="Arial" w:hAnsi="Arial" w:cs="Arial"/>
        </w:rPr>
        <w:t xml:space="preserve">- </w:t>
      </w:r>
      <w:r w:rsidR="007C78B9" w:rsidRPr="007C78B9">
        <w:rPr>
          <w:rFonts w:ascii="Arial" w:hAnsi="Arial" w:cs="Arial"/>
          <w:lang w:val="mk-MK"/>
        </w:rPr>
        <w:t>Kodi i Etikës së Manualit për Personat me Integritet, punonjësit e Agjencisë dhe pesë anëtarë të Këshillit të Agjencisë.</w:t>
      </w:r>
      <w:r w:rsidR="007C78B9" w:rsidRPr="007C78B9">
        <w:rPr>
          <w:rFonts w:ascii="Arial" w:hAnsi="Arial" w:cs="Arial"/>
          <w:color w:val="7030A0"/>
          <w:lang w:val="mk-MK"/>
        </w:rPr>
        <w:t xml:space="preserve"> </w:t>
      </w:r>
      <w:r w:rsidR="007C78B9" w:rsidRPr="007C78B9">
        <w:rPr>
          <w:rFonts w:ascii="Arial" w:hAnsi="Arial" w:cs="Arial"/>
          <w:lang w:val="mk-MK"/>
        </w:rPr>
        <w:t>Deklaratat e nënshkruara që vërtetojnë se kanë lexuar, kuptuar dhe do të respektojnë parimet në Kodin e Mirësjelljes për anëtarët e Këshillit dhe punonjësit në shërbimin profesional të Agjencisë për Shërbime Mediatike Audio dhe Audiovizive, si dhe mënyrën e aplikimit dhe marrjen e përgjegjësisë për zbatimin e tyre.</w:t>
      </w:r>
    </w:p>
    <w:p w14:paraId="19141552" w14:textId="77777777" w:rsidR="00896FFA" w:rsidRPr="00EA47E6" w:rsidRDefault="000966AF" w:rsidP="001B7A4E">
      <w:pPr>
        <w:pStyle w:val="ListParagraph"/>
        <w:numPr>
          <w:ilvl w:val="0"/>
          <w:numId w:val="10"/>
        </w:numPr>
        <w:spacing w:after="0" w:line="240" w:lineRule="auto"/>
        <w:jc w:val="both"/>
        <w:rPr>
          <w:rFonts w:ascii="Arial" w:hAnsi="Arial" w:cs="Arial"/>
          <w:lang w:val="mk-MK"/>
        </w:rPr>
      </w:pPr>
      <w:r w:rsidRPr="001B7A4E">
        <w:rPr>
          <w:rFonts w:ascii="Arial" w:eastAsia="Times New Roman" w:hAnsi="Arial" w:cs="Arial"/>
          <w:lang w:val="mk-MK"/>
        </w:rPr>
        <w:t xml:space="preserve">në lidhje me </w:t>
      </w:r>
      <w:r w:rsidRPr="001B7A4E">
        <w:rPr>
          <w:rFonts w:ascii="Arial" w:eastAsia="Times New Roman" w:hAnsi="Arial" w:cs="Arial"/>
          <w:u w:val="single"/>
          <w:lang w:val="mk-MK"/>
        </w:rPr>
        <w:t>veprimtarinë</w:t>
      </w:r>
      <w:r w:rsidRPr="001B7A4E">
        <w:rPr>
          <w:rFonts w:ascii="Arial" w:eastAsia="Times New Roman" w:hAnsi="Arial" w:cs="Arial"/>
          <w:lang w:val="mk-MK"/>
        </w:rPr>
        <w:t xml:space="preserve"> </w:t>
      </w:r>
      <w:r w:rsidRPr="001B7A4E">
        <w:rPr>
          <w:rFonts w:ascii="Arial" w:eastAsia="Times New Roman" w:hAnsi="Arial" w:cs="Arial"/>
          <w:b/>
          <w:lang w:val="mk-MK"/>
        </w:rPr>
        <w:t xml:space="preserve">Zhvillimi dhe zbatimi i politikave dhe praktikave të menaxhimit të burimeve njerëzore për ngritjen dhe ngritjen profesionale të tyre </w:t>
      </w:r>
      <w:r w:rsidRPr="001B7A4E">
        <w:rPr>
          <w:rFonts w:ascii="Arial" w:eastAsia="Times New Roman" w:hAnsi="Arial" w:cs="Arial"/>
          <w:lang w:val="mk-MK"/>
        </w:rPr>
        <w:t xml:space="preserve">, është marrë masa e vendosur - edukimi i punonjësve të Agjencisë përmes trajnimeve të përkushtuara </w:t>
      </w:r>
      <w:r w:rsidR="001F2324" w:rsidRPr="00223692">
        <w:rPr>
          <w:rStyle w:val="FootnoteReference"/>
          <w:rFonts w:ascii="Arial" w:eastAsia="Times New Roman" w:hAnsi="Arial" w:cs="Arial"/>
          <w:lang w:val="mk-MK"/>
        </w:rPr>
        <w:footnoteReference w:id="2"/>
      </w:r>
      <w:r w:rsidR="00A47E0A" w:rsidRPr="001B7A4E">
        <w:rPr>
          <w:rFonts w:ascii="Arial" w:eastAsia="Times New Roman" w:hAnsi="Arial" w:cs="Arial"/>
          <w:lang w:val="mk-MK"/>
        </w:rPr>
        <w:t xml:space="preserve">, ku disa nga punonjësit e Agjencisë (gjashtë persona) </w:t>
      </w:r>
      <w:r w:rsidR="00A47E0A" w:rsidRPr="001B7A4E">
        <w:rPr>
          <w:rFonts w:ascii="Arial" w:eastAsia="Times New Roman" w:hAnsi="Arial" w:cs="Arial"/>
          <w:lang w:val="mk-MK"/>
        </w:rPr>
        <w:lastRenderedPageBreak/>
        <w:t xml:space="preserve">kanë ndjekur 3 (tre) trajnime, përkatësisht: </w:t>
      </w:r>
      <w:r w:rsidR="003F5357" w:rsidRPr="001B7A4E">
        <w:rPr>
          <w:rFonts w:ascii="Arial" w:hAnsi="Arial" w:cs="Arial"/>
          <w:lang w:val="mk-MK"/>
        </w:rPr>
        <w:t xml:space="preserve">trajnime për forcimin e aftësive analitike të auditorëve; trajnime për menaxhimin e riskut në sektorin publik, i cili përfshinte menaxhimin e burimeve njerëzore dhe rreziqet e mundshme në proces, si dhe monitorimin dhe zbatimin e kontratave të prokurimit publik dhe rreziqet e mundshme në këtë proces, si dhe trajnim mbi temat: kontabiliteti, SNRF, SNRF, analiza financiare dhe njohuritë e lidhura me to, taksat dhe sistemi tatimor, njohuritë organizative dhe biznesore, dhe ligji i korporatave. Në të njëjtën kohë, në vitin 2024, punonjësit e Agjencisë morën pjesë në shumë seminare dhe konferenca lidhur me luftën kundër </w:t>
      </w:r>
      <w:r w:rsidR="00B57976" w:rsidRPr="00EA47E6">
        <w:rPr>
          <w:rFonts w:ascii="Arial" w:hAnsi="Arial" w:cs="Arial"/>
        </w:rPr>
        <w:t xml:space="preserve">korrupsionit </w:t>
      </w:r>
      <w:r w:rsidR="00B57976" w:rsidRPr="00EA47E6">
        <w:rPr>
          <w:rFonts w:ascii="Arial" w:hAnsi="Arial" w:cs="Arial"/>
          <w:lang w:val="mk-MK"/>
        </w:rPr>
        <w:t>.</w:t>
      </w:r>
      <w:r w:rsidR="00B57976" w:rsidRPr="00EA47E6">
        <w:rPr>
          <w:rFonts w:ascii="Arial" w:hAnsi="Arial" w:cs="Arial"/>
        </w:rPr>
        <w:t xml:space="preserve"> </w:t>
      </w:r>
      <w:r w:rsidR="001B7A4E" w:rsidRPr="00EA47E6">
        <w:rPr>
          <w:rFonts w:ascii="Arial" w:hAnsi="Arial" w:cs="Arial"/>
          <w:lang w:val="mk-MK"/>
        </w:rPr>
        <w:t>prokurimet publike,</w:t>
      </w:r>
      <w:r w:rsidR="00743C88" w:rsidRPr="00EA47E6">
        <w:rPr>
          <w:rFonts w:ascii="Arial" w:hAnsi="Arial" w:cs="Arial"/>
        </w:rPr>
        <w:t xml:space="preserve"> </w:t>
      </w:r>
      <w:r w:rsidR="001B7A4E" w:rsidRPr="00EA47E6">
        <w:rPr>
          <w:rFonts w:ascii="Arial" w:hAnsi="Arial" w:cs="Arial"/>
          <w:lang w:val="mk-MK"/>
        </w:rPr>
        <w:t xml:space="preserve">financat, arsimimi mediatik </w:t>
      </w:r>
      <w:r w:rsidR="004E0141" w:rsidRPr="00EA47E6">
        <w:rPr>
          <w:rFonts w:ascii="Arial" w:hAnsi="Arial" w:cs="Arial"/>
        </w:rPr>
        <w:t xml:space="preserve">, </w:t>
      </w:r>
      <w:r w:rsidR="004E0141" w:rsidRPr="00EA47E6">
        <w:rPr>
          <w:rFonts w:ascii="Arial" w:hAnsi="Arial" w:cs="Arial"/>
          <w:lang w:val="mk-MK"/>
        </w:rPr>
        <w:t>pluralizmi mediatik, gjuha e urrejtjes, platformat dixhitale të internetit, siguria dixhitale, zgjedhjet, inteligjenca artificiale, zbatimi i detyrimeve të Agjencisë që rrjedhin nga Direktiva e rishikuar për Shërbimet Mediatike Audiovizive, etj.</w:t>
      </w:r>
    </w:p>
    <w:p w14:paraId="3282A2C3" w14:textId="77777777" w:rsidR="009467DE" w:rsidRDefault="000966AF" w:rsidP="009154AF">
      <w:pPr>
        <w:pStyle w:val="ListParagraph"/>
        <w:numPr>
          <w:ilvl w:val="0"/>
          <w:numId w:val="10"/>
        </w:numPr>
        <w:spacing w:after="0" w:line="240" w:lineRule="auto"/>
        <w:ind w:left="1080"/>
        <w:contextualSpacing w:val="0"/>
        <w:jc w:val="both"/>
        <w:rPr>
          <w:rFonts w:ascii="Arial" w:eastAsia="Times New Roman" w:hAnsi="Arial" w:cs="Arial"/>
          <w:lang w:val="mk-MK"/>
        </w:rPr>
      </w:pPr>
      <w:r w:rsidRPr="006045B7">
        <w:rPr>
          <w:rFonts w:ascii="Arial" w:hAnsi="Arial" w:cs="Arial"/>
          <w:lang w:val="mk-MK"/>
        </w:rPr>
        <w:t xml:space="preserve">në lidhje me </w:t>
      </w:r>
      <w:r w:rsidRPr="006045B7">
        <w:rPr>
          <w:rFonts w:ascii="Arial" w:hAnsi="Arial" w:cs="Arial"/>
          <w:u w:val="single"/>
          <w:lang w:val="mk-MK"/>
        </w:rPr>
        <w:t>veprimtarinë</w:t>
      </w:r>
      <w:r w:rsidRPr="006045B7">
        <w:rPr>
          <w:rFonts w:ascii="Arial" w:hAnsi="Arial" w:cs="Arial"/>
          <w:lang w:val="mk-MK"/>
        </w:rPr>
        <w:t xml:space="preserve"> </w:t>
      </w:r>
      <w:r w:rsidR="009B45B2" w:rsidRPr="006045B7">
        <w:rPr>
          <w:rFonts w:ascii="Arial" w:hAnsi="Arial" w:cs="Arial"/>
          <w:b/>
          <w:lang w:val="mk-MK"/>
        </w:rPr>
        <w:t xml:space="preserve">Në zbatim praktik të Udhëzimit për Trajtimin e Dhuratave, Përfitimeve dhe Mikpritjes të Agjencisë </w:t>
      </w:r>
      <w:r w:rsidRPr="006045B7">
        <w:rPr>
          <w:rFonts w:ascii="Arial" w:hAnsi="Arial" w:cs="Arial"/>
          <w:lang w:val="mk-MK"/>
        </w:rPr>
        <w:t xml:space="preserve">, janë marrë masat e përcaktuara - përmbushja e detyrimeve në përputhje me Udhëzimin, mbajtja e evidencës së dhuratave të marra, kujdesi për pranimin, ruajtjen dhe ruajtjen e dhuratave dhe dorëzimi i një kopje të listës së evidencës në Komisionin Shtetëror për Parandalimin e Korruptuar në mënyrë të </w:t>
      </w:r>
      <w:r w:rsidR="00C000A4" w:rsidRPr="00223692">
        <w:rPr>
          <w:rFonts w:ascii="Arial" w:eastAsia="Calibri" w:hAnsi="Arial" w:cs="Arial"/>
          <w:lang w:val="mk-MK" w:eastAsia="x-none"/>
        </w:rPr>
        <w:t xml:space="preserve">autorizuar </w:t>
      </w:r>
      <w:r w:rsidR="006C51FD" w:rsidRPr="006045B7">
        <w:rPr>
          <w:rFonts w:ascii="Arial" w:hAnsi="Arial" w:cs="Arial"/>
          <w:lang w:val="mk-MK"/>
        </w:rPr>
        <w:t>për dhurata në Agjenci më 13.02.2024. për KSHPK-në</w:t>
      </w:r>
      <w:r w:rsidR="00FF292F" w:rsidRPr="00FF292F">
        <w:rPr>
          <w:rFonts w:ascii="Arial" w:eastAsia="Times New Roman" w:hAnsi="Arial" w:cs="Arial"/>
          <w:lang w:val="mk-MK"/>
        </w:rPr>
        <w:t xml:space="preserve"> </w:t>
      </w:r>
      <w:r w:rsidR="006045B7" w:rsidRPr="006045B7">
        <w:rPr>
          <w:rFonts w:ascii="Arial" w:hAnsi="Arial" w:cs="Arial"/>
          <w:lang w:val="mk-MK"/>
        </w:rPr>
        <w:t xml:space="preserve">Është dorëzuar një kopje ( </w:t>
      </w:r>
      <w:r w:rsidR="00FF292F">
        <w:rPr>
          <w:rFonts w:ascii="Arial" w:eastAsia="Times New Roman" w:hAnsi="Arial" w:cs="Arial"/>
          <w:lang w:val="mk-MK"/>
        </w:rPr>
        <w:t xml:space="preserve">e pranuar në KSHPK më 14.02.2024) </w:t>
      </w:r>
      <w:r w:rsidR="00FF292F">
        <w:rPr>
          <w:rFonts w:ascii="Arial" w:hAnsi="Arial" w:cs="Arial"/>
          <w:lang w:val="mk-MK"/>
        </w:rPr>
        <w:t xml:space="preserve">e Listës </w:t>
      </w:r>
      <w:r w:rsidR="00EC40BB">
        <w:rPr>
          <w:rFonts w:ascii="Arial" w:eastAsia="Times New Roman" w:hAnsi="Arial" w:cs="Arial"/>
          <w:lang w:val="mk-MK"/>
        </w:rPr>
        <w:t xml:space="preserve">për regjistrimin e dhuratave të pranuara </w:t>
      </w:r>
      <w:r w:rsidR="00FF292F">
        <w:rPr>
          <w:rFonts w:ascii="Arial" w:eastAsia="Calibri" w:hAnsi="Arial" w:cs="Arial"/>
          <w:lang w:val="mk-MK" w:eastAsia="x-none"/>
        </w:rPr>
        <w:t xml:space="preserve">– për dhuratat e pranuara në vitin 2023 </w:t>
      </w:r>
      <w:r w:rsidR="00FF7411" w:rsidRPr="006045B7">
        <w:rPr>
          <w:rFonts w:ascii="Arial" w:eastAsia="Times New Roman" w:hAnsi="Arial" w:cs="Arial"/>
          <w:lang w:val="mk-MK"/>
        </w:rPr>
        <w:t>.</w:t>
      </w:r>
    </w:p>
    <w:p w14:paraId="45DAFC23" w14:textId="4FC55D0A" w:rsidR="00EA47E6" w:rsidRPr="00527BBD" w:rsidRDefault="00E77296" w:rsidP="00EA47E6">
      <w:pPr>
        <w:pStyle w:val="ListParagraph"/>
        <w:numPr>
          <w:ilvl w:val="0"/>
          <w:numId w:val="10"/>
        </w:numPr>
        <w:spacing w:after="0" w:line="240" w:lineRule="auto"/>
        <w:ind w:left="1080"/>
        <w:contextualSpacing w:val="0"/>
        <w:jc w:val="both"/>
        <w:rPr>
          <w:rFonts w:ascii="Arial" w:eastAsia="Times New Roman" w:hAnsi="Arial" w:cs="Arial"/>
          <w:lang w:val="mk-MK"/>
        </w:rPr>
      </w:pPr>
      <w:r w:rsidRPr="00EA47E6">
        <w:rPr>
          <w:rFonts w:ascii="Arial" w:hAnsi="Arial" w:cs="Arial"/>
          <w:lang w:val="mk-MK"/>
        </w:rPr>
        <w:t xml:space="preserve">Në kuadër të masës së vendosur - </w:t>
      </w:r>
      <w:r w:rsidRPr="00364AE2">
        <w:rPr>
          <w:rFonts w:ascii="Arial" w:hAnsi="Arial" w:cs="Arial"/>
          <w:b/>
          <w:bCs/>
          <w:lang w:val="mk-MK"/>
        </w:rPr>
        <w:t xml:space="preserve">Krijimi i sistemit për menaxhimin e rreziqeve të korrupsionit, </w:t>
      </w:r>
      <w:r w:rsidR="00EA47E6" w:rsidRPr="00364AE2">
        <w:rPr>
          <w:rFonts w:ascii="Arial" w:hAnsi="Arial" w:cs="Arial"/>
          <w:lang w:val="mk-MK"/>
        </w:rPr>
        <w:t xml:space="preserve">dhe me qëllim të reduktimit të rrezikut - veprimeve të punonjësve në kundërshtim me Strategjinë e Agjencisë për Menaxhimin e Riskut, ekipi për përgatitjen e Strategjisë së Agjencisë për Menaxhimin e Riskut, </w:t>
      </w:r>
      <w:r w:rsidR="00EA47E6" w:rsidRPr="00364AE2">
        <w:rPr>
          <w:rFonts w:ascii="Arial" w:eastAsia="Calibri" w:hAnsi="Arial" w:cs="Arial"/>
          <w:lang w:val="mk-MK" w:eastAsia="x-none"/>
        </w:rPr>
        <w:t xml:space="preserve">brenda afatit të paraparë për zbatimin e saj, </w:t>
      </w:r>
      <w:r w:rsidR="00EA47E6" w:rsidRPr="00364AE2">
        <w:rPr>
          <w:rFonts w:ascii="Arial" w:hAnsi="Arial" w:cs="Arial"/>
          <w:lang w:val="mk-MK"/>
        </w:rPr>
        <w:t>kreu aktivitetin.</w:t>
      </w:r>
      <w:r w:rsidR="00EA47E6" w:rsidRPr="00EA47E6">
        <w:rPr>
          <w:rFonts w:ascii="Arial" w:eastAsia="Calibri" w:hAnsi="Arial" w:cs="Arial"/>
          <w:color w:val="ED0000"/>
          <w:lang w:val="mk-MK" w:eastAsia="x-none"/>
        </w:rPr>
        <w:t xml:space="preserve"> </w:t>
      </w:r>
      <w:r w:rsidR="00EA47E6" w:rsidRPr="00364AE2">
        <w:rPr>
          <w:rFonts w:ascii="Arial" w:hAnsi="Arial" w:cs="Arial"/>
          <w:lang w:val="mk-MK"/>
        </w:rPr>
        <w:t xml:space="preserve">– Përgatitja e Regjistrit të Riskut për vitin 2024. dhe kontrollin e rregullt të gjendjes së rreziqeve në regjistër, me ç'rast më </w:t>
      </w:r>
      <w:r w:rsidR="00527BBD" w:rsidRPr="00527BBD">
        <w:rPr>
          <w:rFonts w:ascii="Arial" w:hAnsi="Arial" w:cs="Arial"/>
        </w:rPr>
        <w:t xml:space="preserve">23.12.2024 </w:t>
      </w:r>
      <w:r w:rsidR="00EA47E6" w:rsidRPr="00527BBD">
        <w:rPr>
          <w:rFonts w:ascii="Arial" w:hAnsi="Arial" w:cs="Arial"/>
          <w:lang w:val="mk-MK"/>
        </w:rPr>
        <w:t>. Është zhvilluar Regjistri i Rrezikut në Agjencinë për Shërbime Mediatike Audio-Vizuale, nr.</w:t>
      </w:r>
    </w:p>
    <w:p w14:paraId="2AD10DEF" w14:textId="77777777" w:rsidR="00EA47E6" w:rsidRPr="00EA47E6" w:rsidRDefault="00EA47E6" w:rsidP="00EA47E6">
      <w:pPr>
        <w:pStyle w:val="ListParagraph"/>
        <w:spacing w:after="0" w:line="240" w:lineRule="auto"/>
        <w:ind w:left="1080"/>
        <w:contextualSpacing w:val="0"/>
        <w:jc w:val="both"/>
        <w:rPr>
          <w:rFonts w:ascii="Arial" w:eastAsia="Times New Roman" w:hAnsi="Arial" w:cs="Arial"/>
          <w:lang w:val="mk-MK"/>
        </w:rPr>
      </w:pPr>
    </w:p>
    <w:p w14:paraId="464E3F18" w14:textId="6F7CD8E6" w:rsidR="000966AF" w:rsidRPr="00223692" w:rsidRDefault="00EA47E6" w:rsidP="0022273F">
      <w:pPr>
        <w:pStyle w:val="ListParagraph"/>
        <w:numPr>
          <w:ilvl w:val="0"/>
          <w:numId w:val="4"/>
        </w:numPr>
        <w:spacing w:after="0" w:line="240" w:lineRule="auto"/>
        <w:ind w:left="0" w:hanging="270"/>
        <w:jc w:val="both"/>
        <w:rPr>
          <w:rFonts w:ascii="Arial" w:eastAsia="Times New Roman" w:hAnsi="Arial" w:cs="Arial"/>
          <w:u w:val="single"/>
          <w:lang w:val="mk-MK"/>
        </w:rPr>
      </w:pPr>
      <w:r>
        <w:rPr>
          <w:rFonts w:ascii="Arial" w:eastAsia="Times New Roman" w:hAnsi="Arial" w:cs="Arial"/>
          <w:u w:val="single"/>
          <w:lang w:val="mk-MK"/>
        </w:rPr>
        <w:t>Në fushën 2: Cilësia e punës në Agjencinë për Shërbime Mediatike Audio dhe Audiovizive</w:t>
      </w:r>
    </w:p>
    <w:p w14:paraId="42D75A5A" w14:textId="77777777" w:rsidR="00BF4CFE" w:rsidRPr="00BF4CFE" w:rsidRDefault="000966AF" w:rsidP="00BF4CFE">
      <w:pPr>
        <w:pStyle w:val="ListParagraph"/>
        <w:numPr>
          <w:ilvl w:val="0"/>
          <w:numId w:val="2"/>
        </w:numPr>
        <w:spacing w:after="0" w:line="240" w:lineRule="auto"/>
        <w:jc w:val="both"/>
        <w:rPr>
          <w:rFonts w:ascii="Arial" w:eastAsia="Times New Roman" w:hAnsi="Arial" w:cs="Arial"/>
          <w:lang w:val="mk-MK"/>
        </w:rPr>
      </w:pPr>
      <w:r w:rsidRPr="00223692">
        <w:rPr>
          <w:rFonts w:ascii="Arial" w:eastAsia="Times New Roman" w:hAnsi="Arial" w:cs="Arial"/>
          <w:lang w:val="mk-MK"/>
        </w:rPr>
        <w:t xml:space="preserve">në lidhje me </w:t>
      </w:r>
      <w:r w:rsidRPr="00223692">
        <w:rPr>
          <w:rFonts w:ascii="Arial" w:eastAsia="Times New Roman" w:hAnsi="Arial" w:cs="Arial"/>
          <w:u w:val="single"/>
          <w:lang w:val="mk-MK"/>
        </w:rPr>
        <w:t>veprimtarinë</w:t>
      </w:r>
      <w:r w:rsidRPr="00223692">
        <w:rPr>
          <w:rFonts w:ascii="Arial" w:eastAsia="Times New Roman" w:hAnsi="Arial" w:cs="Arial"/>
          <w:lang w:val="mk-MK"/>
        </w:rPr>
        <w:t xml:space="preserve"> </w:t>
      </w:r>
      <w:r w:rsidRPr="00223692">
        <w:rPr>
          <w:rFonts w:ascii="Arial" w:eastAsia="Times New Roman" w:hAnsi="Arial" w:cs="Arial"/>
          <w:b/>
          <w:lang w:val="mk-MK"/>
        </w:rPr>
        <w:t xml:space="preserve">Me aplikimin konsistent të procedurave për proceset e punës në Agjenci në përputhje me certifikimin ISO 9001:2015 </w:t>
      </w:r>
      <w:r w:rsidRPr="00223692">
        <w:rPr>
          <w:rFonts w:ascii="Arial" w:eastAsia="Times New Roman" w:hAnsi="Arial" w:cs="Arial"/>
          <w:lang w:val="mk-MK"/>
        </w:rPr>
        <w:t xml:space="preserve">, është marrë masa e vendosur - Verifikimi i përputhshmërisë me procedurat nga auditorët e brendshëm dhe auditorët e një organizmi certifikues të akredituar, në mënyrë të tillë që në shtator të vitit 2024, punonjës të Agjencisë - </w:t>
      </w:r>
      <w:r w:rsidR="00BF4CFE" w:rsidRPr="00223692">
        <w:rPr>
          <w:rFonts w:ascii="Arial" w:hAnsi="Arial" w:cs="Arial"/>
          <w:lang w:val="mk-MK"/>
        </w:rPr>
        <w:t xml:space="preserve">tre persona të autorizuar të brendshëm të përzgjedhur nga Agjencia, të përzgjedhura nga auditimi i brendshëm. Një punonjës i Sektorit për Mbështetjen e Punës së Drejtorit dhe Këshillit të Agjencisë (SPRDISA) dhe një punonjës i Sektorit për Mbështetjen e Informacionit dhe Çështjet e Përgjithshme (SIPOR) më datë 17.09.2024 kanë kryer një kontroll për respektimin e procedurës ISO - Mbikëqyrja e Programit dhe Lëshimi i Certifikatave për Regjistrimin e Paketave/Shërbimeve Programore. Një punonjës i Sektorit për Planifikimin Strategjik dhe Mbrojtjen e të Drejtave të Autorit (SSPZAP) dhe një punonjës i SIPOR-it më 17 shtator 2024, kontrolluan respektimin e procedurës ISO - Porositja dhe Marrja e Mallrave. Dy </w:t>
      </w:r>
      <w:r w:rsidR="00C347DD" w:rsidRPr="003B4435">
        <w:rPr>
          <w:rFonts w:ascii="Arial" w:eastAsia="Times New Roman" w:hAnsi="Arial" w:cs="Arial"/>
          <w:lang w:val="mk-MK"/>
        </w:rPr>
        <w:t xml:space="preserve">punonjës të </w:t>
      </w:r>
      <w:r w:rsidR="0084600A" w:rsidRPr="00223692">
        <w:rPr>
          <w:rFonts w:ascii="Arial" w:hAnsi="Arial" w:cs="Arial"/>
          <w:lang w:val="mk-MK"/>
        </w:rPr>
        <w:t xml:space="preserve">Departamentit për Çështje Programore (DPA), më 18 shtator 2024, kanë kontrolluar respektimin e procedurës ISO - Procedurat me rastin e shqiptimit të masave dhe para gjykatave kompetente në Republikën e Maqedonisë. Pas përfundimit të kontrolleve të brendshme të tre procedurave nga drejtuesi i kontrollit </w:t>
      </w:r>
      <w:r w:rsidR="0084600A" w:rsidRPr="00223692">
        <w:rPr>
          <w:rFonts w:ascii="Arial" w:hAnsi="Arial" w:cs="Arial"/>
          <w:lang w:val="mk-MK"/>
        </w:rPr>
        <w:lastRenderedPageBreak/>
        <w:t xml:space="preserve">– punonjës i SSPZAP-it, më datë 19.09.2024 është përgatitur Raporti Kumulativ i kontrolleve të brendshme të kryera, në të njëjtën kohë, më datë 20.09.202 </w:t>
      </w:r>
      <w:r w:rsidR="00443F2A" w:rsidRPr="00E56F25">
        <w:rPr>
          <w:rFonts w:ascii="Arial" w:eastAsia="Times New Roman" w:hAnsi="Arial" w:cs="Arial"/>
          <w:color w:val="212121"/>
        </w:rPr>
        <w:t xml:space="preserve">4 </w:t>
      </w:r>
      <w:r w:rsidRPr="00E56F25">
        <w:rPr>
          <w:rFonts w:ascii="Arial" w:eastAsia="Times New Roman" w:hAnsi="Arial" w:cs="Arial"/>
          <w:color w:val="212121"/>
          <w:lang w:val="mk-MK"/>
        </w:rPr>
        <w:t xml:space="preserve">, në përputhje me </w:t>
      </w:r>
      <w:r w:rsidRPr="00223692">
        <w:rPr>
          <w:rFonts w:ascii="Arial" w:hAnsi="Arial" w:cs="Arial"/>
          <w:lang w:val="mk-MK"/>
        </w:rPr>
        <w:t xml:space="preserve">Planin e Kontrollit, </w:t>
      </w:r>
      <w:r w:rsidRPr="00223692">
        <w:rPr>
          <w:rFonts w:ascii="Arial" w:eastAsia="Times New Roman" w:hAnsi="Arial" w:cs="Arial"/>
          <w:lang w:val="mk-MK"/>
        </w:rPr>
        <w:t xml:space="preserve">është kryer </w:t>
      </w:r>
      <w:r w:rsidRPr="00223692">
        <w:rPr>
          <w:rFonts w:ascii="Arial" w:hAnsi="Arial" w:cs="Arial"/>
          <w:lang w:val="mk-MK" w:eastAsia="en-GB"/>
        </w:rPr>
        <w:t xml:space="preserve">inspektimi </w:t>
      </w:r>
      <w:r w:rsidRPr="00E56F25">
        <w:rPr>
          <w:rFonts w:ascii="Arial" w:eastAsia="Times New Roman" w:hAnsi="Arial" w:cs="Arial"/>
          <w:color w:val="212121"/>
          <w:lang w:val="mk-MK"/>
        </w:rPr>
        <w:t>në ambientet e Agjencisë.</w:t>
      </w:r>
      <w:r w:rsidR="006974D5" w:rsidRPr="00223692">
        <w:rPr>
          <w:rFonts w:ascii="Arial" w:hAnsi="Arial" w:cs="Arial"/>
          <w:lang w:val="mk-MK"/>
        </w:rPr>
        <w:t xml:space="preserve"> </w:t>
      </w:r>
      <w:r w:rsidRPr="00223692">
        <w:rPr>
          <w:rFonts w:ascii="Arial" w:hAnsi="Arial" w:cs="Arial"/>
          <w:lang w:val="mk-MK"/>
        </w:rPr>
        <w:t xml:space="preserve">Inspektimi i mbikqyrjes së </w:t>
      </w:r>
      <w:r w:rsidR="001B7A4E">
        <w:rPr>
          <w:rFonts w:ascii="Arial" w:hAnsi="Arial" w:cs="Arial"/>
          <w:lang w:val="mk-MK"/>
        </w:rPr>
        <w:t xml:space="preserve">ricertifikimit </w:t>
      </w:r>
      <w:r w:rsidRPr="00223692">
        <w:rPr>
          <w:rFonts w:ascii="Arial" w:eastAsia="Times New Roman" w:hAnsi="Arial" w:cs="Arial"/>
          <w:lang w:val="mk-MK"/>
        </w:rPr>
        <w:t xml:space="preserve">, me objekt certifikimi: Rregullimi i shërbimeve mediatike audio dhe audiovizive </w:t>
      </w:r>
      <w:r w:rsidRPr="00223692">
        <w:rPr>
          <w:rFonts w:ascii="Arial" w:hAnsi="Arial" w:cs="Arial"/>
          <w:lang w:val="mk-MK"/>
        </w:rPr>
        <w:t xml:space="preserve">, </w:t>
      </w:r>
      <w:r w:rsidRPr="00223692">
        <w:rPr>
          <w:rFonts w:ascii="Arial" w:hAnsi="Arial" w:cs="Arial"/>
          <w:lang w:val="mk-MK" w:eastAsia="en-GB"/>
        </w:rPr>
        <w:t xml:space="preserve">nga </w:t>
      </w:r>
      <w:r w:rsidRPr="00223692">
        <w:rPr>
          <w:rFonts w:ascii="Arial" w:hAnsi="Arial" w:cs="Arial"/>
        </w:rPr>
        <w:t xml:space="preserve">auditorët në </w:t>
      </w:r>
      <w:r w:rsidRPr="00223692">
        <w:rPr>
          <w:rFonts w:ascii="Arial" w:hAnsi="Arial" w:cs="Arial"/>
          <w:lang w:val="mk-MK"/>
        </w:rPr>
        <w:t>certifikimit</w:t>
      </w:r>
      <w:r w:rsidRPr="00223692">
        <w:rPr>
          <w:rFonts w:ascii="Arial" w:hAnsi="Arial" w:cs="Arial"/>
        </w:rPr>
        <w:t xml:space="preserve"> organi - </w:t>
      </w:r>
      <w:r w:rsidRPr="00223692">
        <w:rPr>
          <w:rFonts w:ascii="Arial" w:hAnsi="Arial" w:cs="Arial"/>
          <w:lang w:eastAsia="en-GB"/>
        </w:rPr>
        <w:t xml:space="preserve">Shoqëria për shërbimet </w:t>
      </w:r>
      <w:r w:rsidRPr="00223692">
        <w:rPr>
          <w:rFonts w:ascii="Arial" w:hAnsi="Arial" w:cs="Arial"/>
        </w:rPr>
        <w:t xml:space="preserve">“ </w:t>
      </w:r>
      <w:r w:rsidRPr="00223692">
        <w:rPr>
          <w:rFonts w:ascii="Arial" w:hAnsi="Arial" w:cs="Arial"/>
          <w:lang w:val="mk-MK"/>
        </w:rPr>
        <w:t xml:space="preserve">INTERCERT </w:t>
      </w:r>
      <w:r w:rsidR="008F6E8F">
        <w:rPr>
          <w:rFonts w:ascii="Arial" w:hAnsi="Arial" w:cs="Arial"/>
        </w:rPr>
        <w:t xml:space="preserve">” </w:t>
      </w:r>
      <w:r w:rsidRPr="00223692">
        <w:rPr>
          <w:rFonts w:ascii="Arial" w:hAnsi="Arial" w:cs="Arial"/>
          <w:lang w:eastAsia="en-GB"/>
        </w:rPr>
        <w:t xml:space="preserve">SH.PK Shkup </w:t>
      </w:r>
      <w:r w:rsidRPr="00223692">
        <w:rPr>
          <w:rFonts w:ascii="Arial" w:hAnsi="Arial" w:cs="Arial"/>
          <w:lang w:val="mk-MK"/>
        </w:rPr>
        <w:t xml:space="preserve">, dhe </w:t>
      </w:r>
      <w:r w:rsidR="008F6E8F" w:rsidRPr="00223692">
        <w:rPr>
          <w:rFonts w:ascii="Arial" w:hAnsi="Arial" w:cs="Arial"/>
        </w:rPr>
        <w:t xml:space="preserve">kredituar </w:t>
      </w:r>
      <w:r w:rsidRPr="00223692">
        <w:rPr>
          <w:rFonts w:ascii="Arial" w:hAnsi="Arial" w:cs="Arial"/>
        </w:rPr>
        <w:t xml:space="preserve">nga Instituti për Akreditimi për certifikimit në sistemet për cilësi </w:t>
      </w:r>
      <w:r w:rsidR="00B5610B">
        <w:rPr>
          <w:rFonts w:ascii="Arial" w:hAnsi="Arial" w:cs="Arial"/>
          <w:lang w:val="mk-MK"/>
        </w:rPr>
        <w:t xml:space="preserve">. Në </w:t>
      </w:r>
      <w:r w:rsidR="00E56F25" w:rsidRPr="007D3693">
        <w:rPr>
          <w:rFonts w:ascii="Arial" w:hAnsi="Arial" w:cs="Arial"/>
          <w:color w:val="212121"/>
          <w:lang w:val="mk-MK"/>
        </w:rPr>
        <w:t xml:space="preserve">raportin </w:t>
      </w:r>
      <w:r w:rsidR="007D3693" w:rsidRPr="007D3693">
        <w:rPr>
          <w:rFonts w:ascii="Arial" w:eastAsia="Times New Roman" w:hAnsi="Arial" w:cs="Arial"/>
          <w:color w:val="212121"/>
          <w:lang w:val="mk-MK"/>
        </w:rPr>
        <w:t xml:space="preserve">e inspektimit nr.03-53-Р1-09/2024 datë 26.09.2024, </w:t>
      </w:r>
      <w:r w:rsidR="00E56F25" w:rsidRPr="007D3693">
        <w:rPr>
          <w:rFonts w:ascii="Arial" w:hAnsi="Arial" w:cs="Arial"/>
          <w:color w:val="212121"/>
          <w:lang w:val="mk-MK"/>
        </w:rPr>
        <w:t xml:space="preserve">nuk </w:t>
      </w:r>
      <w:r w:rsidR="007D3693">
        <w:rPr>
          <w:rFonts w:ascii="Arial" w:hAnsi="Arial" w:cs="Arial"/>
          <w:lang w:val="mk-MK"/>
        </w:rPr>
        <w:t>janë konstatuar mospërputhje me kërkesat e standardit ISO 9001:2015.</w:t>
      </w:r>
    </w:p>
    <w:p w14:paraId="5AB21858" w14:textId="77777777" w:rsidR="001C475A" w:rsidRPr="00045669" w:rsidRDefault="000966AF" w:rsidP="00BF4CFE">
      <w:pPr>
        <w:pStyle w:val="ListParagraph"/>
        <w:numPr>
          <w:ilvl w:val="0"/>
          <w:numId w:val="2"/>
        </w:numPr>
        <w:spacing w:after="0" w:line="240" w:lineRule="auto"/>
        <w:jc w:val="both"/>
        <w:rPr>
          <w:rFonts w:ascii="Arial" w:eastAsia="Times New Roman" w:hAnsi="Arial" w:cs="Arial"/>
          <w:lang w:val="mk-MK"/>
        </w:rPr>
      </w:pPr>
      <w:r w:rsidRPr="00BF4CFE">
        <w:rPr>
          <w:rFonts w:ascii="Arial" w:eastAsia="Times New Roman" w:hAnsi="Arial" w:cs="Arial"/>
          <w:lang w:val="mk-MK"/>
        </w:rPr>
        <w:t xml:space="preserve">në lidhje me </w:t>
      </w:r>
      <w:r w:rsidRPr="00BF4CFE">
        <w:rPr>
          <w:rFonts w:ascii="Arial" w:eastAsia="Times New Roman" w:hAnsi="Arial" w:cs="Arial"/>
          <w:u w:val="single"/>
          <w:lang w:val="mk-MK"/>
        </w:rPr>
        <w:t>veprimtarinë</w:t>
      </w:r>
      <w:r w:rsidR="00045669">
        <w:rPr>
          <w:rFonts w:ascii="Arial" w:eastAsia="Times New Roman" w:hAnsi="Arial" w:cs="Arial"/>
          <w:lang w:val="mk-MK"/>
        </w:rPr>
        <w:t xml:space="preserve"> </w:t>
      </w:r>
      <w:r w:rsidR="00BF4CFE" w:rsidRPr="00BF4CFE">
        <w:rPr>
          <w:rFonts w:ascii="Arial" w:eastAsia="Times New Roman" w:hAnsi="Arial" w:cs="Arial"/>
          <w:b/>
          <w:bCs/>
          <w:lang w:val="mk-MK"/>
        </w:rPr>
        <w:t xml:space="preserve">Duke garantuar sigurinë dhe sigurinë e dokumenteve dhe parandalimin e aksesit të paautorizuar në to, gjatë përdorimit të përditshëm të Sistemit të Menaxhimit të Dokumenteve </w:t>
      </w:r>
      <w:r w:rsidR="00BF4CFE" w:rsidRPr="00BF4CFE">
        <w:rPr>
          <w:rFonts w:ascii="Arial" w:eastAsia="Times New Roman" w:hAnsi="Arial" w:cs="Arial"/>
          <w:b/>
          <w:bCs/>
          <w:lang w:val="sq-AL"/>
        </w:rPr>
        <w:t xml:space="preserve">(DMS) </w:t>
      </w:r>
      <w:r w:rsidR="00F06E46" w:rsidRPr="00BF4CFE">
        <w:rPr>
          <w:rFonts w:ascii="Arial" w:eastAsia="Times New Roman" w:hAnsi="Arial" w:cs="Arial"/>
          <w:b/>
          <w:lang w:val="mk-MK"/>
        </w:rPr>
        <w:t xml:space="preserve">, </w:t>
      </w:r>
      <w:r w:rsidR="00F06E46" w:rsidRPr="00BF4CFE">
        <w:rPr>
          <w:rFonts w:ascii="Arial" w:eastAsia="Times New Roman" w:hAnsi="Arial" w:cs="Arial"/>
          <w:lang w:val="mk-MK"/>
        </w:rPr>
        <w:t xml:space="preserve">është marrë masa e vendosur </w:t>
      </w:r>
      <w:r w:rsidR="00F06E46" w:rsidRPr="00BF4CFE">
        <w:rPr>
          <w:rFonts w:ascii="Arial" w:eastAsia="Times New Roman" w:hAnsi="Arial" w:cs="Arial"/>
        </w:rPr>
        <w:t xml:space="preserve">- </w:t>
      </w:r>
      <w:r w:rsidR="00BF4CFE" w:rsidRPr="00BF4CFE">
        <w:rPr>
          <w:rFonts w:ascii="Arial" w:eastAsia="Times New Roman" w:hAnsi="Arial" w:cs="Arial"/>
          <w:lang w:val="mk-MK"/>
        </w:rPr>
        <w:t xml:space="preserve">Mirëmbajtja e rregullt e Sistemit të Menaxhimit të Dokumenteve (DMS), në atë mënyrë që sistemi është përmirësuar disa herë në vitin 2024 për shkak të përmirësimit teknik të tij. nga operatori ekonomik i cili është përzgjedhur përmes prokurimit publik në vitin 2024. (për mirëmbajtjen parandaluese dhe adaptive të Sistemit të Automatizuar të Menaxhimit të Dokumenteve). Në të njëjtën kohë, </w:t>
      </w:r>
      <w:r w:rsidR="002F28B9">
        <w:rPr>
          <w:rFonts w:ascii="Arial" w:hAnsi="Arial" w:cs="Arial"/>
          <w:lang w:val="mk-MK"/>
        </w:rPr>
        <w:t xml:space="preserve">punonjësit </w:t>
      </w:r>
      <w:r w:rsidR="00F06E46" w:rsidRPr="00BF4CFE">
        <w:rPr>
          <w:rFonts w:ascii="Arial" w:eastAsia="Times New Roman" w:hAnsi="Arial" w:cs="Arial"/>
          <w:lang w:val="mk-MK"/>
        </w:rPr>
        <w:t xml:space="preserve">në </w:t>
      </w:r>
      <w:r w:rsidR="00F06E46" w:rsidRPr="00BF4CFE">
        <w:rPr>
          <w:rFonts w:ascii="Arial" w:hAnsi="Arial" w:cs="Arial"/>
          <w:lang w:val="mk-MK"/>
        </w:rPr>
        <w:t xml:space="preserve">të gjitha njësitë organizative të Agjencisë gjatë vitit 2024 </w:t>
      </w:r>
      <w:r w:rsidR="00F06E46" w:rsidRPr="00BF4CFE">
        <w:rPr>
          <w:rFonts w:ascii="Arial" w:eastAsia="Times New Roman" w:hAnsi="Arial" w:cs="Arial"/>
          <w:lang w:val="mk-MK"/>
        </w:rPr>
        <w:t xml:space="preserve">kanë përdorur në punën e tyre të përditshme sistemin DMS, përdorimi i të cilit garanton sigurinë dhe sigurinë e dokumenteve dhe parandalon aksesin e paautorizuar në to </w:t>
      </w:r>
      <w:r w:rsidR="00F06E46" w:rsidRPr="00BF4CFE">
        <w:rPr>
          <w:rFonts w:ascii="Arial" w:hAnsi="Arial" w:cs="Arial"/>
          <w:lang w:val="mk-MK"/>
        </w:rPr>
        <w:t>.</w:t>
      </w:r>
    </w:p>
    <w:p w14:paraId="7D5CC626" w14:textId="20FBF866" w:rsidR="00045669" w:rsidRPr="000C3A16" w:rsidRDefault="00045669" w:rsidP="00BF4CFE">
      <w:pPr>
        <w:pStyle w:val="ListParagraph"/>
        <w:numPr>
          <w:ilvl w:val="0"/>
          <w:numId w:val="2"/>
        </w:numPr>
        <w:spacing w:after="0" w:line="240" w:lineRule="auto"/>
        <w:jc w:val="both"/>
        <w:rPr>
          <w:rFonts w:ascii="Arial" w:eastAsia="Times New Roman" w:hAnsi="Arial" w:cs="Arial"/>
          <w:lang w:val="mk-MK"/>
        </w:rPr>
      </w:pPr>
      <w:r w:rsidRPr="00364AE2">
        <w:rPr>
          <w:rFonts w:ascii="Arial" w:eastAsia="Times New Roman" w:hAnsi="Arial" w:cs="Arial"/>
          <w:lang w:val="mk-MK"/>
        </w:rPr>
        <w:t xml:space="preserve">në lidhje me </w:t>
      </w:r>
      <w:r w:rsidRPr="00364AE2">
        <w:rPr>
          <w:rFonts w:ascii="Arial" w:eastAsia="Times New Roman" w:hAnsi="Arial" w:cs="Arial"/>
          <w:u w:val="single"/>
          <w:lang w:val="mk-MK"/>
        </w:rPr>
        <w:t>veprimtarinë</w:t>
      </w:r>
      <w:r w:rsidRPr="00364AE2">
        <w:rPr>
          <w:rFonts w:ascii="Arial" w:eastAsia="Times New Roman" w:hAnsi="Arial" w:cs="Arial"/>
          <w:lang w:val="mk-MK"/>
        </w:rPr>
        <w:t xml:space="preserve"> </w:t>
      </w:r>
      <w:r w:rsidRPr="00364AE2">
        <w:rPr>
          <w:rFonts w:ascii="Arial" w:eastAsia="Times New Roman" w:hAnsi="Arial" w:cs="Arial"/>
          <w:b/>
          <w:lang w:val="mk-MK"/>
        </w:rPr>
        <w:t>Zbatimi i vazhdueshëm i</w:t>
      </w:r>
      <w:r w:rsidRPr="00364AE2">
        <w:rPr>
          <w:rFonts w:ascii="Arial" w:eastAsia="Times New Roman" w:hAnsi="Arial" w:cs="Arial"/>
          <w:b/>
        </w:rPr>
        <w:t xml:space="preserve"> </w:t>
      </w:r>
      <w:r w:rsidRPr="00364AE2">
        <w:rPr>
          <w:rFonts w:ascii="Arial" w:eastAsia="Times New Roman" w:hAnsi="Arial" w:cs="Arial"/>
          <w:b/>
          <w:lang w:val="mk-MK"/>
        </w:rPr>
        <w:t xml:space="preserve">me rregulloret ligjore për mbrojtjen e të dhënave personale </w:t>
      </w:r>
      <w:r w:rsidRPr="00364AE2">
        <w:rPr>
          <w:rFonts w:ascii="Arial" w:eastAsia="Times New Roman" w:hAnsi="Arial" w:cs="Arial"/>
          <w:lang w:val="mk-MK"/>
        </w:rPr>
        <w:t xml:space="preserve">janë </w:t>
      </w:r>
      <w:r w:rsidR="006736E9" w:rsidRPr="00364AE2">
        <w:rPr>
          <w:rFonts w:ascii="Arial" w:hAnsi="Arial" w:cs="Arial"/>
          <w:lang w:val="mk-MK"/>
        </w:rPr>
        <w:t xml:space="preserve">ndërmarrë veprime në kuadër të </w:t>
      </w:r>
      <w:r w:rsidRPr="00364AE2">
        <w:rPr>
          <w:rFonts w:ascii="Arial" w:eastAsia="Times New Roman" w:hAnsi="Arial" w:cs="Arial"/>
          <w:lang w:val="mk-MK"/>
        </w:rPr>
        <w:t xml:space="preserve">masës së përcaktuar - Verifikimi i respektimit të rregulloreve ligjore nga zyrtarët e emëruar për mbrojtjen e të dhënave personale në Agjenci, me çka më </w:t>
      </w:r>
      <w:r w:rsidR="00A12DB6" w:rsidRPr="00D438B9">
        <w:rPr>
          <w:rFonts w:ascii="Arial" w:eastAsia="Times New Roman" w:hAnsi="Arial" w:cs="Arial"/>
          <w:lang w:val="mk-MK"/>
        </w:rPr>
        <w:t xml:space="preserve">18.12.202 </w:t>
      </w:r>
      <w:r w:rsidR="00A01C4C" w:rsidRPr="00D438B9">
        <w:rPr>
          <w:rFonts w:ascii="Arial" w:eastAsia="Times New Roman" w:hAnsi="Arial" w:cs="Arial"/>
        </w:rPr>
        <w:t xml:space="preserve">4 </w:t>
      </w:r>
      <w:r w:rsidR="00A12DB6" w:rsidRPr="00D438B9">
        <w:rPr>
          <w:rFonts w:ascii="Arial" w:hAnsi="Arial" w:cs="Arial"/>
          <w:lang w:val="mk-MK"/>
        </w:rPr>
        <w:t xml:space="preserve">Në të gjitha njësitë organizative në Shërbimin Profesional të Agjencisë është kryer kontroll i përputhshmërisë së veprimeve me rregulloren për mbrojtjen e të dhënave personale, përkatësisht është bërë kontrolli i autorizimeve me shkrim për përpunimin e të dhënave personale </w:t>
      </w:r>
      <w:r w:rsidR="00A12DB6" w:rsidRPr="000C3A16">
        <w:rPr>
          <w:rFonts w:ascii="Arial" w:hAnsi="Arial" w:cs="Arial"/>
        </w:rPr>
        <w:t xml:space="preserve">dhe </w:t>
      </w:r>
      <w:r w:rsidR="00A12DB6" w:rsidRPr="000C3A16">
        <w:rPr>
          <w:rFonts w:ascii="Arial" w:hAnsi="Arial" w:cs="Arial"/>
          <w:lang w:val="mk-MK"/>
        </w:rPr>
        <w:t>procedura për nënshkrimin e deklaratave për konfidencialitetin dhe mbrojtjen e të dhënave personale nga punonjësit dhe personat e angazhuar në Agjenci.</w:t>
      </w:r>
    </w:p>
    <w:p w14:paraId="6B2AAC5E" w14:textId="77777777" w:rsidR="009467DE" w:rsidRDefault="009467DE" w:rsidP="009467DE">
      <w:pPr>
        <w:pStyle w:val="ListParagraph"/>
        <w:spacing w:after="0" w:line="240" w:lineRule="auto"/>
        <w:ind w:left="1080"/>
        <w:jc w:val="both"/>
        <w:rPr>
          <w:rFonts w:ascii="Arial" w:eastAsia="Times New Roman" w:hAnsi="Arial" w:cs="Arial"/>
          <w:lang w:val="mk-MK"/>
        </w:rPr>
      </w:pPr>
    </w:p>
    <w:p w14:paraId="54847527" w14:textId="77777777" w:rsidR="00ED5D21" w:rsidRDefault="00ED5D21" w:rsidP="009467DE">
      <w:pPr>
        <w:pStyle w:val="ListParagraph"/>
        <w:spacing w:after="0" w:line="240" w:lineRule="auto"/>
        <w:ind w:left="1080"/>
        <w:jc w:val="both"/>
        <w:rPr>
          <w:rFonts w:ascii="Arial" w:eastAsia="Times New Roman" w:hAnsi="Arial" w:cs="Arial"/>
          <w:lang w:val="mk-MK"/>
        </w:rPr>
      </w:pPr>
    </w:p>
    <w:p w14:paraId="28D58EAA" w14:textId="77777777" w:rsidR="00ED5D21" w:rsidRPr="00223692" w:rsidRDefault="00ED5D21" w:rsidP="009467DE">
      <w:pPr>
        <w:pStyle w:val="ListParagraph"/>
        <w:spacing w:after="0" w:line="240" w:lineRule="auto"/>
        <w:ind w:left="1080"/>
        <w:jc w:val="both"/>
        <w:rPr>
          <w:rFonts w:ascii="Arial" w:eastAsia="Times New Roman" w:hAnsi="Arial" w:cs="Arial"/>
          <w:lang w:val="mk-MK"/>
        </w:rPr>
      </w:pPr>
    </w:p>
    <w:p w14:paraId="5F23890F" w14:textId="77777777" w:rsidR="000966AF" w:rsidRPr="00223692" w:rsidRDefault="000966AF" w:rsidP="00DB5317">
      <w:pPr>
        <w:pStyle w:val="ListParagraph"/>
        <w:numPr>
          <w:ilvl w:val="0"/>
          <w:numId w:val="9"/>
        </w:numPr>
        <w:spacing w:after="0" w:line="240" w:lineRule="auto"/>
        <w:ind w:left="0"/>
        <w:jc w:val="both"/>
        <w:rPr>
          <w:rFonts w:ascii="Arial" w:eastAsia="Times New Roman" w:hAnsi="Arial" w:cs="Arial"/>
          <w:u w:val="single"/>
          <w:lang w:val="mk-MK"/>
        </w:rPr>
      </w:pPr>
      <w:r w:rsidRPr="00223692">
        <w:rPr>
          <w:rFonts w:ascii="Arial" w:eastAsia="Times New Roman" w:hAnsi="Arial" w:cs="Arial"/>
          <w:u w:val="single"/>
          <w:lang w:val="mk-MK"/>
        </w:rPr>
        <w:t>Në fushën 3: Veprimi për raportimet e parregullsive dhe raportet e sinjalizuesve</w:t>
      </w:r>
    </w:p>
    <w:p w14:paraId="714DE87A" w14:textId="6B3C2DB0" w:rsidR="005301E8" w:rsidRPr="00950D4A" w:rsidRDefault="005301E8" w:rsidP="00045669">
      <w:pPr>
        <w:pStyle w:val="ListParagraph"/>
        <w:numPr>
          <w:ilvl w:val="0"/>
          <w:numId w:val="2"/>
        </w:numPr>
        <w:spacing w:after="0" w:line="240" w:lineRule="auto"/>
        <w:jc w:val="both"/>
        <w:rPr>
          <w:rFonts w:ascii="Arial" w:hAnsi="Arial" w:cs="Arial"/>
          <w:lang w:val="mk-MK"/>
        </w:rPr>
      </w:pPr>
      <w:r w:rsidRPr="00223692">
        <w:rPr>
          <w:rFonts w:ascii="Arial" w:hAnsi="Arial" w:cs="Arial"/>
          <w:lang w:val="mk-MK"/>
        </w:rPr>
        <w:t xml:space="preserve">në lidhje me </w:t>
      </w:r>
      <w:r w:rsidRPr="00223692">
        <w:rPr>
          <w:rFonts w:ascii="Arial" w:hAnsi="Arial" w:cs="Arial"/>
          <w:u w:val="single"/>
          <w:lang w:val="mk-MK"/>
        </w:rPr>
        <w:t>veprimtarinë</w:t>
      </w:r>
      <w:r w:rsidRPr="00223692">
        <w:rPr>
          <w:rFonts w:ascii="Arial" w:hAnsi="Arial" w:cs="Arial"/>
          <w:lang w:val="mk-MK"/>
        </w:rPr>
        <w:t xml:space="preserve"> </w:t>
      </w:r>
      <w:r w:rsidRPr="00223692">
        <w:rPr>
          <w:rFonts w:ascii="Arial" w:hAnsi="Arial" w:cs="Arial"/>
          <w:b/>
          <w:bCs/>
          <w:lang w:val="mk-MK"/>
        </w:rPr>
        <w:t xml:space="preserve">Duke rritur ndërgjegjësimin e punonjësve të Agjencisë, drejtorit dhe anëtarëve të Këshillit për mundësitë e veprimit sipas Ligjit për Mbrojtjen e Denoncuesve dhe akteve nënligjore të Agjencisë </w:t>
      </w:r>
      <w:r w:rsidRPr="00223692">
        <w:rPr>
          <w:rFonts w:ascii="Arial" w:hAnsi="Arial" w:cs="Arial"/>
          <w:lang w:val="mk-MK"/>
        </w:rPr>
        <w:t xml:space="preserve">, janë ndërmarrë veprime në kuadër të masës së vendosur </w:t>
      </w:r>
      <w:r w:rsidRPr="00223692">
        <w:rPr>
          <w:rFonts w:ascii="Arial" w:hAnsi="Arial" w:cs="Arial"/>
        </w:rPr>
        <w:t xml:space="preserve">- </w:t>
      </w:r>
      <w:r w:rsidRPr="00045669">
        <w:rPr>
          <w:rFonts w:ascii="Arial" w:hAnsi="Arial" w:cs="Arial"/>
          <w:lang w:val="mk-MK"/>
        </w:rPr>
        <w:t>Përmirësimi i njohurive për Ligjin e lartpërmendur dhe Procedurën për mënyrën e veprimit për raportim të brendshëm të mbrojtur.</w:t>
      </w:r>
      <w:r w:rsidRPr="00045669">
        <w:rPr>
          <w:rFonts w:ascii="Arial" w:hAnsi="Arial" w:cs="Arial"/>
          <w:b/>
          <w:bCs/>
          <w:lang w:val="mk-MK"/>
        </w:rPr>
        <w:t xml:space="preserve"> </w:t>
      </w:r>
      <w:r w:rsidRPr="00045669">
        <w:rPr>
          <w:rFonts w:ascii="Arial" w:hAnsi="Arial" w:cs="Arial"/>
          <w:lang w:val="mk-MK"/>
        </w:rPr>
        <w:t>në një mënyrë që</w:t>
      </w:r>
      <w:r w:rsidRPr="00045669">
        <w:rPr>
          <w:rFonts w:ascii="Arial" w:hAnsi="Arial" w:cs="Arial"/>
          <w:b/>
          <w:bCs/>
          <w:lang w:val="mk-MK"/>
        </w:rPr>
        <w:t xml:space="preserve"> </w:t>
      </w:r>
      <w:r w:rsidRPr="00045669">
        <w:rPr>
          <w:rFonts w:ascii="Arial" w:eastAsia="Times New Roman" w:hAnsi="Arial" w:cs="Arial"/>
          <w:lang w:val="mk-MK"/>
        </w:rPr>
        <w:t xml:space="preserve">Në faqen e internetit të Agjencisë (në një seksion të veçantë), për të siguruar një shikueshmëri më të madhe të procedurës së dorëzimit të raporteve nga </w:t>
      </w:r>
      <w:r w:rsidR="00950D4A" w:rsidRPr="00950D4A">
        <w:rPr>
          <w:rFonts w:ascii="Arial" w:hAnsi="Arial" w:cs="Arial"/>
          <w:color w:val="000000"/>
          <w:shd w:val="clear" w:color="auto" w:fill="FFFFFF"/>
          <w:lang w:val="mk-MK"/>
        </w:rPr>
        <w:t xml:space="preserve">sinjalizuesit </w:t>
      </w:r>
      <w:r w:rsidRPr="00950D4A">
        <w:rPr>
          <w:rFonts w:ascii="Arial" w:eastAsia="Times New Roman" w:hAnsi="Arial" w:cs="Arial"/>
          <w:lang w:val="mk-MK"/>
        </w:rPr>
        <w:t xml:space="preserve">, </w:t>
      </w:r>
      <w:r w:rsidR="004420D6">
        <w:rPr>
          <w:rFonts w:ascii="Arial" w:eastAsia="Times New Roman" w:hAnsi="Arial" w:cs="Arial"/>
        </w:rPr>
        <w:t xml:space="preserve">janë publikuar </w:t>
      </w:r>
      <w:r w:rsidR="004420D6">
        <w:rPr>
          <w:rFonts w:ascii="Arial" w:eastAsia="Times New Roman" w:hAnsi="Arial" w:cs="Arial"/>
          <w:lang w:val="mk-MK"/>
        </w:rPr>
        <w:t xml:space="preserve">: udhëzimet për pranimin e raporteve nga </w:t>
      </w:r>
      <w:r w:rsidR="004420D6" w:rsidRPr="00950D4A">
        <w:rPr>
          <w:rFonts w:ascii="Arial" w:eastAsia="Times New Roman" w:hAnsi="Arial" w:cs="Arial"/>
          <w:lang w:val="mk-MK"/>
        </w:rPr>
        <w:t xml:space="preserve">sinjalizuesit , të dhënat për </w:t>
      </w:r>
      <w:r w:rsidR="00950D4A" w:rsidRPr="00950D4A">
        <w:rPr>
          <w:rFonts w:ascii="Arial" w:hAnsi="Arial" w:cs="Arial"/>
          <w:color w:val="000000"/>
          <w:shd w:val="clear" w:color="auto" w:fill="FFFFFF"/>
          <w:lang w:val="mk-MK"/>
        </w:rPr>
        <w:t xml:space="preserve">të </w:t>
      </w:r>
      <w:r w:rsidR="00950D4A" w:rsidRPr="00950D4A">
        <w:rPr>
          <w:rFonts w:ascii="Arial" w:hAnsi="Arial" w:cs="Arial"/>
          <w:color w:val="000000"/>
          <w:shd w:val="clear" w:color="auto" w:fill="FFFFFF"/>
        </w:rPr>
        <w:t xml:space="preserve">autorizuarit fytyrë për pritje në raporti nga Whistleblowers </w:t>
      </w:r>
      <w:r w:rsidR="00950D4A" w:rsidRPr="00950D4A">
        <w:rPr>
          <w:rFonts w:ascii="Arial" w:hAnsi="Arial" w:cs="Arial"/>
          <w:color w:val="000000"/>
          <w:shd w:val="clear" w:color="auto" w:fill="FFFFFF"/>
          <w:lang w:val="mk-MK"/>
        </w:rPr>
        <w:t xml:space="preserve">, një numër i veçantë telefoni, </w:t>
      </w:r>
      <w:r w:rsidRPr="00950D4A">
        <w:rPr>
          <w:rFonts w:ascii="Arial" w:eastAsia="Times New Roman" w:hAnsi="Arial" w:cs="Arial"/>
          <w:lang w:val="mk-MK"/>
        </w:rPr>
        <w:t xml:space="preserve">është </w:t>
      </w:r>
      <w:r w:rsidRPr="00950D4A">
        <w:rPr>
          <w:rFonts w:ascii="Arial" w:hAnsi="Arial" w:cs="Arial"/>
          <w:lang w:val="mk-MK"/>
        </w:rPr>
        <w:t xml:space="preserve">një </w:t>
      </w:r>
      <w:r w:rsidRPr="00950D4A">
        <w:rPr>
          <w:rFonts w:ascii="Arial" w:hAnsi="Arial" w:cs="Arial"/>
        </w:rPr>
        <w:t xml:space="preserve">elektronik adresa për pritje në aplikoni : </w:t>
      </w:r>
      <w:hyperlink r:id="rId8" w:history="1">
        <w:r w:rsidRPr="00950D4A">
          <w:rPr>
            <w:rStyle w:val="Hyperlink"/>
            <w:rFonts w:ascii="Arial" w:hAnsi="Arial" w:cs="Arial"/>
            <w:color w:val="auto"/>
            <w:u w:val="none"/>
            <w:bdr w:val="none" w:sz="0" w:space="0" w:color="auto" w:frame="1"/>
          </w:rPr>
          <w:t xml:space="preserve">ukazuvaci@avmu.mk </w:t>
        </w:r>
      </w:hyperlink>
      <w:r w:rsidRPr="00950D4A">
        <w:rPr>
          <w:rFonts w:ascii="Arial" w:hAnsi="Arial" w:cs="Arial"/>
          <w:lang w:val="mk-MK"/>
        </w:rPr>
        <w:t xml:space="preserve">, kodi </w:t>
      </w:r>
      <w:r w:rsidRPr="00950D4A">
        <w:rPr>
          <w:rFonts w:ascii="Arial" w:hAnsi="Arial" w:cs="Arial"/>
        </w:rPr>
        <w:t xml:space="preserve">postar adresa për pritje në Aplikoni : Rruga Makedonija 38 , Palata Panko Brashnarov , Shkup </w:t>
      </w:r>
      <w:r w:rsidRPr="00950D4A">
        <w:rPr>
          <w:rFonts w:ascii="Arial" w:hAnsi="Arial" w:cs="Arial"/>
          <w:lang w:val="mk-MK"/>
        </w:rPr>
        <w:t xml:space="preserve">, si dhe aktet përkatëse ligjore dhe nënligjore që e rregullojnë këtë çështje, përkatësisht: </w:t>
      </w:r>
      <w:r w:rsidR="000E2E58" w:rsidRPr="00950D4A">
        <w:rPr>
          <w:rFonts w:ascii="Arial" w:hAnsi="Arial" w:cs="Arial"/>
          <w:bdr w:val="none" w:sz="0" w:space="0" w:color="auto" w:frame="1"/>
        </w:rPr>
        <w:t xml:space="preserve">Ligji </w:t>
      </w:r>
      <w:r w:rsidR="000E2E58" w:rsidRPr="00950D4A">
        <w:rPr>
          <w:rFonts w:ascii="Arial" w:hAnsi="Arial" w:cs="Arial"/>
          <w:bdr w:val="none" w:sz="0" w:space="0" w:color="auto" w:frame="1"/>
          <w:lang w:val="mk-MK"/>
        </w:rPr>
        <w:t>i</w:t>
      </w:r>
      <w:r w:rsidR="000E2E58" w:rsidRPr="00950D4A">
        <w:rPr>
          <w:rFonts w:ascii="Arial" w:hAnsi="Arial" w:cs="Arial"/>
          <w:bdr w:val="none" w:sz="0" w:space="0" w:color="auto" w:frame="1"/>
        </w:rPr>
        <w:t xml:space="preserve"> për mbrojtjes në sinjalizuesit </w:t>
      </w:r>
      <w:r w:rsidR="000E2E58" w:rsidRPr="00950D4A">
        <w:rPr>
          <w:rFonts w:ascii="Arial" w:hAnsi="Arial" w:cs="Arial"/>
          <w:bdr w:val="none" w:sz="0" w:space="0" w:color="auto" w:frame="1"/>
          <w:lang w:val="mk-MK"/>
        </w:rPr>
        <w:t>,</w:t>
      </w:r>
      <w:r w:rsidR="000E2E58" w:rsidRPr="00950D4A">
        <w:rPr>
          <w:rFonts w:ascii="Arial" w:hAnsi="Arial" w:cs="Arial"/>
        </w:rPr>
        <w:t xml:space="preserve"> </w:t>
      </w:r>
      <w:hyperlink r:id="rId9" w:history="1"/>
      <w:hyperlink r:id="rId10" w:history="1">
        <w:r w:rsidRPr="00950D4A">
          <w:rPr>
            <w:rStyle w:val="Hyperlink"/>
            <w:rFonts w:ascii="Arial" w:hAnsi="Arial" w:cs="Arial"/>
            <w:color w:val="auto"/>
            <w:u w:val="none"/>
            <w:bdr w:val="none" w:sz="0" w:space="0" w:color="auto" w:frame="1"/>
          </w:rPr>
          <w:t>Udhëzimet</w:t>
        </w:r>
      </w:hyperlink>
      <w:hyperlink r:id="rId11" w:history="1"/>
      <w:hyperlink r:id="rId12" w:history="1">
        <w:r w:rsidRPr="00950D4A">
          <w:rPr>
            <w:rStyle w:val="Hyperlink"/>
            <w:rFonts w:ascii="Arial" w:hAnsi="Arial" w:cs="Arial"/>
            <w:color w:val="auto"/>
            <w:u w:val="none"/>
            <w:bdr w:val="none" w:sz="0" w:space="0" w:color="auto" w:frame="1"/>
          </w:rPr>
          <w:t xml:space="preserve"> </w:t>
        </w:r>
      </w:hyperlink>
      <w:hyperlink r:id="rId13" w:history="1"/>
      <w:hyperlink r:id="rId14" w:history="1">
        <w:r w:rsidRPr="00950D4A">
          <w:rPr>
            <w:rStyle w:val="Hyperlink"/>
            <w:rFonts w:ascii="Arial" w:hAnsi="Arial" w:cs="Arial"/>
            <w:color w:val="auto"/>
            <w:u w:val="none"/>
            <w:bdr w:val="none" w:sz="0" w:space="0" w:color="auto" w:frame="1"/>
          </w:rPr>
          <w:t>për</w:t>
        </w:r>
      </w:hyperlink>
      <w:hyperlink r:id="rId15" w:history="1"/>
      <w:hyperlink r:id="rId16" w:history="1">
        <w:r w:rsidRPr="00950D4A">
          <w:rPr>
            <w:rStyle w:val="Hyperlink"/>
            <w:rFonts w:ascii="Arial" w:hAnsi="Arial" w:cs="Arial"/>
            <w:color w:val="auto"/>
            <w:u w:val="none"/>
            <w:bdr w:val="none" w:sz="0" w:space="0" w:color="auto" w:frame="1"/>
          </w:rPr>
          <w:t xml:space="preserve"> </w:t>
        </w:r>
      </w:hyperlink>
      <w:hyperlink r:id="rId17" w:history="1"/>
      <w:hyperlink r:id="rId18" w:history="1">
        <w:r w:rsidRPr="00950D4A">
          <w:rPr>
            <w:rStyle w:val="Hyperlink"/>
            <w:rFonts w:ascii="Arial" w:hAnsi="Arial" w:cs="Arial"/>
            <w:color w:val="auto"/>
            <w:u w:val="none"/>
            <w:bdr w:val="none" w:sz="0" w:space="0" w:color="auto" w:frame="1"/>
          </w:rPr>
          <w:t>pritje</w:t>
        </w:r>
      </w:hyperlink>
      <w:hyperlink r:id="rId19" w:history="1"/>
      <w:hyperlink r:id="rId20" w:history="1">
        <w:r w:rsidRPr="00950D4A">
          <w:rPr>
            <w:rStyle w:val="Hyperlink"/>
            <w:rFonts w:ascii="Arial" w:hAnsi="Arial" w:cs="Arial"/>
            <w:color w:val="auto"/>
            <w:u w:val="none"/>
            <w:bdr w:val="none" w:sz="0" w:space="0" w:color="auto" w:frame="1"/>
          </w:rPr>
          <w:t xml:space="preserve"> </w:t>
        </w:r>
      </w:hyperlink>
      <w:hyperlink r:id="rId21" w:history="1"/>
      <w:hyperlink r:id="rId22" w:history="1">
        <w:r w:rsidRPr="00950D4A">
          <w:rPr>
            <w:rStyle w:val="Hyperlink"/>
            <w:rFonts w:ascii="Arial" w:hAnsi="Arial" w:cs="Arial"/>
            <w:color w:val="auto"/>
            <w:u w:val="none"/>
            <w:bdr w:val="none" w:sz="0" w:space="0" w:color="auto" w:frame="1"/>
          </w:rPr>
          <w:t>në</w:t>
        </w:r>
      </w:hyperlink>
      <w:hyperlink r:id="rId23" w:history="1"/>
      <w:hyperlink r:id="rId24" w:history="1">
        <w:r w:rsidRPr="00950D4A">
          <w:rPr>
            <w:rStyle w:val="Hyperlink"/>
            <w:rFonts w:ascii="Arial" w:hAnsi="Arial" w:cs="Arial"/>
            <w:color w:val="auto"/>
            <w:u w:val="none"/>
            <w:bdr w:val="none" w:sz="0" w:space="0" w:color="auto" w:frame="1"/>
          </w:rPr>
          <w:t xml:space="preserve"> </w:t>
        </w:r>
      </w:hyperlink>
      <w:hyperlink r:id="rId25" w:history="1"/>
      <w:hyperlink r:id="rId26" w:history="1">
        <w:r w:rsidRPr="00950D4A">
          <w:rPr>
            <w:rStyle w:val="Hyperlink"/>
            <w:rFonts w:ascii="Arial" w:hAnsi="Arial" w:cs="Arial"/>
            <w:color w:val="auto"/>
            <w:u w:val="none"/>
            <w:bdr w:val="none" w:sz="0" w:space="0" w:color="auto" w:frame="1"/>
          </w:rPr>
          <w:t>raporti</w:t>
        </w:r>
      </w:hyperlink>
      <w:hyperlink r:id="rId27" w:history="1"/>
      <w:hyperlink r:id="rId28" w:history="1">
        <w:r w:rsidRPr="00950D4A">
          <w:rPr>
            <w:rStyle w:val="Hyperlink"/>
            <w:rFonts w:ascii="Arial" w:hAnsi="Arial" w:cs="Arial"/>
            <w:color w:val="auto"/>
            <w:u w:val="none"/>
            <w:bdr w:val="none" w:sz="0" w:space="0" w:color="auto" w:frame="1"/>
          </w:rPr>
          <w:t xml:space="preserve"> </w:t>
        </w:r>
      </w:hyperlink>
      <w:hyperlink r:id="rId29" w:history="1"/>
      <w:hyperlink r:id="rId30" w:history="1">
        <w:r w:rsidRPr="00950D4A">
          <w:rPr>
            <w:rStyle w:val="Hyperlink"/>
            <w:rFonts w:ascii="Arial" w:hAnsi="Arial" w:cs="Arial"/>
            <w:color w:val="auto"/>
            <w:u w:val="none"/>
            <w:bdr w:val="none" w:sz="0" w:space="0" w:color="auto" w:frame="1"/>
          </w:rPr>
          <w:t>nga</w:t>
        </w:r>
      </w:hyperlink>
      <w:hyperlink r:id="rId31" w:history="1"/>
      <w:hyperlink r:id="rId32" w:history="1">
        <w:r w:rsidRPr="00950D4A">
          <w:rPr>
            <w:rStyle w:val="Hyperlink"/>
            <w:rFonts w:ascii="Arial" w:hAnsi="Arial" w:cs="Arial"/>
            <w:color w:val="auto"/>
            <w:u w:val="none"/>
            <w:bdr w:val="none" w:sz="0" w:space="0" w:color="auto" w:frame="1"/>
          </w:rPr>
          <w:t xml:space="preserve"> </w:t>
        </w:r>
      </w:hyperlink>
      <w:hyperlink r:id="rId33" w:history="1"/>
      <w:hyperlink r:id="rId34" w:history="1">
        <w:r w:rsidRPr="00950D4A">
          <w:rPr>
            <w:rStyle w:val="Hyperlink"/>
            <w:rFonts w:ascii="Arial" w:hAnsi="Arial" w:cs="Arial"/>
            <w:color w:val="auto"/>
            <w:u w:val="none"/>
            <w:bdr w:val="none" w:sz="0" w:space="0" w:color="auto" w:frame="1"/>
          </w:rPr>
          <w:t xml:space="preserve">sinjalizuesit </w:t>
        </w:r>
      </w:hyperlink>
      <w:hyperlink r:id="rId35" w:history="1"/>
      <w:hyperlink r:id="rId36" w:history="1">
        <w:r w:rsidRPr="00950D4A">
          <w:rPr>
            <w:rStyle w:val="Hyperlink"/>
            <w:rFonts w:ascii="Arial" w:hAnsi="Arial" w:cs="Arial"/>
            <w:color w:val="auto"/>
            <w:u w:val="none"/>
            <w:bdr w:val="none" w:sz="0" w:space="0" w:color="auto" w:frame="1"/>
          </w:rPr>
          <w:t xml:space="preserve">, </w:t>
        </w:r>
      </w:hyperlink>
      <w:hyperlink r:id="rId37" w:history="1"/>
      <w:hyperlink r:id="rId38" w:history="1">
        <w:r w:rsidRPr="00950D4A">
          <w:rPr>
            <w:rStyle w:val="Hyperlink"/>
            <w:rFonts w:ascii="Arial" w:hAnsi="Arial" w:cs="Arial"/>
            <w:color w:val="auto"/>
            <w:u w:val="none"/>
            <w:bdr w:val="none" w:sz="0" w:space="0" w:color="auto" w:frame="1"/>
          </w:rPr>
          <w:t xml:space="preserve">nxjerrja </w:t>
        </w:r>
      </w:hyperlink>
      <w:hyperlink r:id="rId39" w:history="1"/>
      <w:hyperlink r:id="rId40" w:history="1">
        <w:r w:rsidRPr="00950D4A">
          <w:rPr>
            <w:rStyle w:val="Hyperlink"/>
            <w:rFonts w:ascii="Arial" w:hAnsi="Arial" w:cs="Arial"/>
            <w:color w:val="auto"/>
            <w:u w:val="none"/>
            <w:bdr w:val="none" w:sz="0" w:space="0" w:color="auto" w:frame="1"/>
          </w:rPr>
          <w:t xml:space="preserve">dhe </w:t>
        </w:r>
      </w:hyperlink>
      <w:hyperlink r:id="rId41" w:history="1"/>
      <w:hyperlink r:id="rId42" w:history="1">
        <w:r w:rsidRPr="00950D4A">
          <w:rPr>
            <w:rStyle w:val="Hyperlink"/>
            <w:rFonts w:ascii="Arial" w:hAnsi="Arial" w:cs="Arial"/>
            <w:color w:val="auto"/>
            <w:u w:val="none"/>
            <w:bdr w:val="none" w:sz="0" w:space="0" w:color="auto" w:frame="1"/>
          </w:rPr>
          <w:t>përpunimi</w:t>
        </w:r>
      </w:hyperlink>
      <w:hyperlink r:id="rId43" w:history="1"/>
      <w:hyperlink r:id="rId44" w:history="1">
        <w:r w:rsidRPr="00950D4A">
          <w:rPr>
            <w:rStyle w:val="Hyperlink"/>
            <w:rFonts w:ascii="Arial" w:hAnsi="Arial" w:cs="Arial"/>
            <w:color w:val="auto"/>
            <w:u w:val="none"/>
            <w:bdr w:val="none" w:sz="0" w:space="0" w:color="auto" w:frame="1"/>
          </w:rPr>
          <w:t xml:space="preserve"> </w:t>
        </w:r>
      </w:hyperlink>
      <w:hyperlink r:id="rId45" w:history="1"/>
      <w:hyperlink r:id="rId46" w:history="1">
        <w:r w:rsidRPr="00950D4A">
          <w:rPr>
            <w:rStyle w:val="Hyperlink"/>
            <w:rFonts w:ascii="Arial" w:hAnsi="Arial" w:cs="Arial"/>
            <w:color w:val="auto"/>
            <w:u w:val="none"/>
            <w:bdr w:val="none" w:sz="0" w:space="0" w:color="auto" w:frame="1"/>
          </w:rPr>
          <w:t>në</w:t>
        </w:r>
      </w:hyperlink>
      <w:hyperlink r:id="rId47" w:history="1"/>
      <w:hyperlink r:id="rId48" w:history="1">
        <w:r w:rsidRPr="00950D4A">
          <w:rPr>
            <w:rStyle w:val="Hyperlink"/>
            <w:rFonts w:ascii="Arial" w:hAnsi="Arial" w:cs="Arial"/>
            <w:color w:val="auto"/>
            <w:u w:val="none"/>
            <w:bdr w:val="none" w:sz="0" w:space="0" w:color="auto" w:frame="1"/>
          </w:rPr>
          <w:t xml:space="preserve"> </w:t>
        </w:r>
      </w:hyperlink>
      <w:hyperlink r:id="rId49" w:history="1"/>
      <w:hyperlink r:id="rId50" w:history="1">
        <w:r w:rsidRPr="00950D4A">
          <w:rPr>
            <w:rStyle w:val="Hyperlink"/>
            <w:rFonts w:ascii="Arial" w:hAnsi="Arial" w:cs="Arial"/>
            <w:color w:val="auto"/>
            <w:u w:val="none"/>
            <w:bdr w:val="none" w:sz="0" w:space="0" w:color="auto" w:frame="1"/>
          </w:rPr>
          <w:t>të dhënat</w:t>
        </w:r>
      </w:hyperlink>
      <w:hyperlink r:id="rId51" w:history="1"/>
      <w:hyperlink r:id="rId52" w:history="1">
        <w:r w:rsidRPr="00950D4A">
          <w:rPr>
            <w:rStyle w:val="Hyperlink"/>
            <w:rFonts w:ascii="Arial" w:hAnsi="Arial" w:cs="Arial"/>
            <w:color w:val="auto"/>
            <w:u w:val="none"/>
            <w:bdr w:val="none" w:sz="0" w:space="0" w:color="auto" w:frame="1"/>
          </w:rPr>
          <w:t xml:space="preserve"> </w:t>
        </w:r>
      </w:hyperlink>
      <w:hyperlink r:id="rId53" w:history="1"/>
      <w:hyperlink r:id="rId54" w:history="1">
        <w:r w:rsidRPr="00950D4A">
          <w:rPr>
            <w:rStyle w:val="Hyperlink"/>
            <w:rFonts w:ascii="Arial" w:hAnsi="Arial" w:cs="Arial"/>
            <w:color w:val="auto"/>
            <w:u w:val="none"/>
            <w:bdr w:val="none" w:sz="0" w:space="0" w:color="auto" w:frame="1"/>
          </w:rPr>
          <w:t>nga</w:t>
        </w:r>
      </w:hyperlink>
      <w:hyperlink r:id="rId55" w:history="1"/>
      <w:hyperlink r:id="rId56" w:history="1">
        <w:r w:rsidRPr="00950D4A">
          <w:rPr>
            <w:rStyle w:val="Hyperlink"/>
            <w:rFonts w:ascii="Arial" w:hAnsi="Arial" w:cs="Arial"/>
            <w:color w:val="auto"/>
            <w:u w:val="none"/>
            <w:bdr w:val="none" w:sz="0" w:space="0" w:color="auto" w:frame="1"/>
          </w:rPr>
          <w:t xml:space="preserve"> </w:t>
        </w:r>
      </w:hyperlink>
      <w:hyperlink r:id="rId57" w:history="1"/>
      <w:hyperlink r:id="rId58" w:history="1">
        <w:r w:rsidRPr="00950D4A">
          <w:rPr>
            <w:rStyle w:val="Hyperlink"/>
            <w:rFonts w:ascii="Arial" w:hAnsi="Arial" w:cs="Arial"/>
            <w:color w:val="auto"/>
            <w:u w:val="none"/>
            <w:bdr w:val="none" w:sz="0" w:space="0" w:color="auto" w:frame="1"/>
          </w:rPr>
          <w:t xml:space="preserve">regjistrohu </w:t>
        </w:r>
      </w:hyperlink>
      <w:hyperlink r:id="rId59" w:history="1"/>
      <w:hyperlink r:id="rId60" w:history="1">
        <w:r w:rsidRPr="00950D4A">
          <w:rPr>
            <w:rStyle w:val="Hyperlink"/>
            <w:rFonts w:ascii="Arial" w:hAnsi="Arial" w:cs="Arial"/>
            <w:color w:val="auto"/>
            <w:u w:val="none"/>
            <w:bdr w:val="none" w:sz="0" w:space="0" w:color="auto" w:frame="1"/>
          </w:rPr>
          <w:t xml:space="preserve">dhe </w:t>
        </w:r>
      </w:hyperlink>
      <w:hyperlink r:id="rId61" w:history="1"/>
      <w:hyperlink r:id="rId62" w:history="1">
        <w:r w:rsidRPr="00950D4A">
          <w:rPr>
            <w:rStyle w:val="Hyperlink"/>
            <w:rFonts w:ascii="Arial" w:hAnsi="Arial" w:cs="Arial"/>
            <w:color w:val="auto"/>
            <w:u w:val="none"/>
            <w:bdr w:val="none" w:sz="0" w:space="0" w:color="auto" w:frame="1"/>
          </w:rPr>
          <w:t>shkarko</w:t>
        </w:r>
      </w:hyperlink>
      <w:hyperlink r:id="rId63" w:history="1"/>
      <w:hyperlink r:id="rId64" w:history="1">
        <w:r w:rsidRPr="00950D4A">
          <w:rPr>
            <w:rStyle w:val="Hyperlink"/>
            <w:rFonts w:ascii="Arial" w:hAnsi="Arial" w:cs="Arial"/>
            <w:color w:val="auto"/>
            <w:u w:val="none"/>
            <w:bdr w:val="none" w:sz="0" w:space="0" w:color="auto" w:frame="1"/>
          </w:rPr>
          <w:t xml:space="preserve"> </w:t>
        </w:r>
      </w:hyperlink>
      <w:hyperlink r:id="rId65" w:history="1"/>
      <w:hyperlink r:id="rId66" w:history="1">
        <w:r w:rsidRPr="00950D4A">
          <w:rPr>
            <w:rStyle w:val="Hyperlink"/>
            <w:rFonts w:ascii="Arial" w:hAnsi="Arial" w:cs="Arial"/>
            <w:color w:val="auto"/>
            <w:u w:val="none"/>
            <w:bdr w:val="none" w:sz="0" w:space="0" w:color="auto" w:frame="1"/>
          </w:rPr>
          <w:t>masat</w:t>
        </w:r>
      </w:hyperlink>
      <w:hyperlink r:id="rId67" w:history="1"/>
      <w:hyperlink r:id="rId68" w:history="1">
        <w:r w:rsidRPr="00950D4A">
          <w:rPr>
            <w:rStyle w:val="Hyperlink"/>
            <w:rFonts w:ascii="Arial" w:hAnsi="Arial" w:cs="Arial"/>
            <w:color w:val="auto"/>
            <w:u w:val="none"/>
            <w:bdr w:val="none" w:sz="0" w:space="0" w:color="auto" w:frame="1"/>
          </w:rPr>
          <w:t xml:space="preserve"> </w:t>
        </w:r>
      </w:hyperlink>
      <w:hyperlink r:id="rId69" w:history="1"/>
      <w:hyperlink r:id="rId70" w:history="1">
        <w:r w:rsidRPr="00950D4A">
          <w:rPr>
            <w:rStyle w:val="Hyperlink"/>
            <w:rFonts w:ascii="Arial" w:hAnsi="Arial" w:cs="Arial"/>
            <w:color w:val="auto"/>
            <w:u w:val="none"/>
            <w:bdr w:val="none" w:sz="0" w:space="0" w:color="auto" w:frame="1"/>
          </w:rPr>
          <w:t>për</w:t>
        </w:r>
      </w:hyperlink>
      <w:hyperlink r:id="rId71" w:history="1"/>
      <w:hyperlink r:id="rId72" w:history="1">
        <w:r w:rsidRPr="00950D4A">
          <w:rPr>
            <w:rStyle w:val="Hyperlink"/>
            <w:rFonts w:ascii="Arial" w:hAnsi="Arial" w:cs="Arial"/>
            <w:color w:val="auto"/>
            <w:u w:val="none"/>
            <w:bdr w:val="none" w:sz="0" w:space="0" w:color="auto" w:frame="1"/>
          </w:rPr>
          <w:t xml:space="preserve"> </w:t>
        </w:r>
      </w:hyperlink>
      <w:hyperlink r:id="rId73" w:history="1"/>
      <w:hyperlink r:id="rId74" w:history="1">
        <w:r w:rsidRPr="00950D4A">
          <w:rPr>
            <w:rStyle w:val="Hyperlink"/>
            <w:rFonts w:ascii="Arial" w:hAnsi="Arial" w:cs="Arial"/>
            <w:color w:val="auto"/>
            <w:u w:val="none"/>
            <w:bdr w:val="none" w:sz="0" w:space="0" w:color="auto" w:frame="1"/>
          </w:rPr>
          <w:t>sigurinë</w:t>
        </w:r>
      </w:hyperlink>
      <w:hyperlink r:id="rId75" w:history="1"/>
      <w:hyperlink r:id="rId76" w:history="1">
        <w:r w:rsidRPr="00950D4A">
          <w:rPr>
            <w:rStyle w:val="Hyperlink"/>
            <w:rFonts w:ascii="Arial" w:hAnsi="Arial" w:cs="Arial"/>
            <w:color w:val="auto"/>
            <w:u w:val="none"/>
            <w:bdr w:val="none" w:sz="0" w:space="0" w:color="auto" w:frame="1"/>
          </w:rPr>
          <w:t xml:space="preserve"> </w:t>
        </w:r>
      </w:hyperlink>
      <w:hyperlink r:id="rId77" w:history="1"/>
      <w:hyperlink r:id="rId78" w:history="1">
        <w:r w:rsidRPr="00950D4A">
          <w:rPr>
            <w:rStyle w:val="Hyperlink"/>
            <w:rFonts w:ascii="Arial" w:hAnsi="Arial" w:cs="Arial"/>
            <w:color w:val="auto"/>
            <w:u w:val="none"/>
            <w:bdr w:val="none" w:sz="0" w:space="0" w:color="auto" w:frame="1"/>
          </w:rPr>
          <w:t>mbrojtjes</w:t>
        </w:r>
      </w:hyperlink>
      <w:hyperlink r:id="rId79" w:history="1"/>
      <w:hyperlink r:id="rId80" w:history="1">
        <w:r w:rsidRPr="00950D4A">
          <w:rPr>
            <w:rStyle w:val="Hyperlink"/>
            <w:rFonts w:ascii="Arial" w:hAnsi="Arial" w:cs="Arial"/>
            <w:color w:val="auto"/>
            <w:u w:val="none"/>
            <w:bdr w:val="none" w:sz="0" w:space="0" w:color="auto" w:frame="1"/>
          </w:rPr>
          <w:t xml:space="preserve"> </w:t>
        </w:r>
      </w:hyperlink>
      <w:hyperlink r:id="rId81" w:history="1"/>
      <w:hyperlink r:id="rId82" w:history="1">
        <w:r w:rsidRPr="00950D4A">
          <w:rPr>
            <w:rStyle w:val="Hyperlink"/>
            <w:rFonts w:ascii="Arial" w:hAnsi="Arial" w:cs="Arial"/>
            <w:color w:val="auto"/>
            <w:u w:val="none"/>
            <w:bdr w:val="none" w:sz="0" w:space="0" w:color="auto" w:frame="1"/>
          </w:rPr>
          <w:t>në</w:t>
        </w:r>
      </w:hyperlink>
      <w:hyperlink r:id="rId83" w:history="1"/>
      <w:hyperlink r:id="rId84" w:history="1">
        <w:r w:rsidRPr="00950D4A">
          <w:rPr>
            <w:rStyle w:val="Hyperlink"/>
            <w:rFonts w:ascii="Arial" w:hAnsi="Arial" w:cs="Arial"/>
            <w:color w:val="auto"/>
            <w:u w:val="none"/>
            <w:bdr w:val="none" w:sz="0" w:space="0" w:color="auto" w:frame="1"/>
          </w:rPr>
          <w:t xml:space="preserve"> </w:t>
        </w:r>
      </w:hyperlink>
      <w:hyperlink r:id="rId85" w:history="1"/>
      <w:hyperlink r:id="rId86" w:history="1">
        <w:r w:rsidRPr="00950D4A">
          <w:rPr>
            <w:rStyle w:val="Hyperlink"/>
            <w:rFonts w:ascii="Arial" w:hAnsi="Arial" w:cs="Arial"/>
            <w:color w:val="auto"/>
            <w:u w:val="none"/>
            <w:bdr w:val="none" w:sz="0" w:space="0" w:color="auto" w:frame="1"/>
          </w:rPr>
          <w:t xml:space="preserve">personale </w:t>
        </w:r>
      </w:hyperlink>
      <w:hyperlink r:id="rId87" w:history="1"/>
      <w:hyperlink r:id="rId88" w:history="1">
        <w:r w:rsidRPr="00950D4A">
          <w:rPr>
            <w:rStyle w:val="Hyperlink"/>
            <w:rFonts w:ascii="Arial" w:hAnsi="Arial" w:cs="Arial"/>
            <w:color w:val="auto"/>
            <w:u w:val="none"/>
            <w:bdr w:val="none" w:sz="0" w:space="0" w:color="auto" w:frame="1"/>
          </w:rPr>
          <w:t xml:space="preserve">dhe </w:t>
        </w:r>
      </w:hyperlink>
      <w:hyperlink r:id="rId89" w:history="1"/>
      <w:hyperlink r:id="rId90" w:history="1">
        <w:r w:rsidRPr="00950D4A">
          <w:rPr>
            <w:rStyle w:val="Hyperlink"/>
            <w:rFonts w:ascii="Arial" w:hAnsi="Arial" w:cs="Arial"/>
            <w:color w:val="auto"/>
            <w:u w:val="none"/>
            <w:bdr w:val="none" w:sz="0" w:space="0" w:color="auto" w:frame="1"/>
          </w:rPr>
          <w:t>të tjera</w:t>
        </w:r>
      </w:hyperlink>
      <w:hyperlink r:id="rId91" w:history="1"/>
      <w:hyperlink r:id="rId92" w:history="1">
        <w:r w:rsidRPr="00950D4A">
          <w:rPr>
            <w:rStyle w:val="Hyperlink"/>
            <w:rFonts w:ascii="Arial" w:hAnsi="Arial" w:cs="Arial"/>
            <w:color w:val="auto"/>
            <w:u w:val="none"/>
            <w:bdr w:val="none" w:sz="0" w:space="0" w:color="auto" w:frame="1"/>
          </w:rPr>
          <w:t xml:space="preserve"> </w:t>
        </w:r>
      </w:hyperlink>
      <w:hyperlink r:id="rId93" w:history="1"/>
      <w:hyperlink r:id="rId94" w:history="1">
        <w:r w:rsidRPr="00950D4A">
          <w:rPr>
            <w:rStyle w:val="Hyperlink"/>
            <w:rFonts w:ascii="Arial" w:hAnsi="Arial" w:cs="Arial"/>
            <w:color w:val="auto"/>
            <w:u w:val="none"/>
            <w:bdr w:val="none" w:sz="0" w:space="0" w:color="auto" w:frame="1"/>
          </w:rPr>
          <w:t xml:space="preserve">të dhënat </w:t>
        </w:r>
      </w:hyperlink>
      <w:hyperlink r:id="rId95" w:history="1"/>
      <w:hyperlink r:id="rId96" w:history="1">
        <w:r w:rsidRPr="00950D4A">
          <w:rPr>
            <w:rStyle w:val="Hyperlink"/>
            <w:rFonts w:ascii="Arial" w:hAnsi="Arial" w:cs="Arial"/>
            <w:color w:val="auto"/>
            <w:u w:val="none"/>
            <w:bdr w:val="none" w:sz="0" w:space="0" w:color="auto" w:frame="1"/>
          </w:rPr>
          <w:t xml:space="preserve">dhe </w:t>
        </w:r>
      </w:hyperlink>
      <w:hyperlink r:id="rId97" w:history="1"/>
      <w:hyperlink r:id="rId98" w:history="1">
        <w:r w:rsidRPr="00950D4A">
          <w:rPr>
            <w:rStyle w:val="Hyperlink"/>
            <w:rFonts w:ascii="Arial" w:hAnsi="Arial" w:cs="Arial"/>
            <w:color w:val="auto"/>
            <w:u w:val="none"/>
            <w:bdr w:val="none" w:sz="0" w:space="0" w:color="auto" w:frame="1"/>
          </w:rPr>
          <w:t>sinjalizuesit</w:t>
        </w:r>
      </w:hyperlink>
      <w:hyperlink r:id="rId99" w:history="1"/>
      <w:r w:rsidR="000E2E58" w:rsidRPr="00950D4A">
        <w:rPr>
          <w:rFonts w:ascii="Arial" w:hAnsi="Arial" w:cs="Arial"/>
          <w:lang w:val="mk-MK"/>
        </w:rPr>
        <w:t xml:space="preserve"> </w:t>
      </w:r>
      <w:r w:rsidR="00EF1B89" w:rsidRPr="00950D4A">
        <w:rPr>
          <w:rFonts w:ascii="Arial" w:hAnsi="Arial" w:cs="Arial"/>
          <w:bdr w:val="none" w:sz="0" w:space="0" w:color="auto" w:frame="1"/>
          <w:lang w:val="mk-MK"/>
        </w:rPr>
        <w:t xml:space="preserve">dhe </w:t>
      </w:r>
      <w:r w:rsidRPr="00950D4A">
        <w:rPr>
          <w:rFonts w:ascii="Arial" w:hAnsi="Arial" w:cs="Arial"/>
          <w:bdr w:val="none" w:sz="0" w:space="0" w:color="auto" w:frame="1"/>
        </w:rPr>
        <w:t xml:space="preserve">Rregulloret </w:t>
      </w:r>
      <w:r w:rsidR="00EF1B89" w:rsidRPr="00950D4A">
        <w:rPr>
          <w:rFonts w:ascii="Arial" w:hAnsi="Arial" w:cs="Arial"/>
          <w:bdr w:val="none" w:sz="0" w:space="0" w:color="auto" w:frame="1"/>
          <w:lang w:val="mk-MK"/>
        </w:rPr>
        <w:t>e</w:t>
      </w:r>
      <w:r w:rsidRPr="00950D4A">
        <w:rPr>
          <w:rFonts w:ascii="Arial" w:hAnsi="Arial" w:cs="Arial"/>
          <w:bdr w:val="none" w:sz="0" w:space="0" w:color="auto" w:frame="1"/>
        </w:rPr>
        <w:t xml:space="preserve"> për të mbrojtura nga brenda regjistrimin në institucionet në publikun sektori </w:t>
      </w:r>
      <w:r w:rsidR="000E2E58" w:rsidRPr="00950D4A">
        <w:rPr>
          <w:rFonts w:ascii="Arial" w:hAnsi="Arial" w:cs="Arial"/>
          <w:bdr w:val="none" w:sz="0" w:space="0" w:color="auto" w:frame="1"/>
          <w:lang w:val="mk-MK"/>
        </w:rPr>
        <w:t>.</w:t>
      </w:r>
    </w:p>
    <w:p w14:paraId="54DC7CF7" w14:textId="11091A06" w:rsidR="004436B1" w:rsidRPr="002A0285" w:rsidRDefault="000966AF" w:rsidP="002A0285">
      <w:pPr>
        <w:pStyle w:val="ListParagraph"/>
        <w:numPr>
          <w:ilvl w:val="0"/>
          <w:numId w:val="2"/>
        </w:numPr>
        <w:spacing w:after="0" w:line="240" w:lineRule="auto"/>
        <w:jc w:val="both"/>
        <w:rPr>
          <w:rFonts w:ascii="Arial" w:hAnsi="Arial" w:cs="Arial"/>
          <w:color w:val="212121"/>
          <w:lang w:val="mk-MK"/>
        </w:rPr>
      </w:pPr>
      <w:r w:rsidRPr="00223692">
        <w:rPr>
          <w:rFonts w:ascii="Arial" w:eastAsia="Times New Roman" w:hAnsi="Arial" w:cs="Arial"/>
          <w:lang w:val="mk-MK"/>
        </w:rPr>
        <w:t xml:space="preserve">në lidhje me </w:t>
      </w:r>
      <w:r w:rsidRPr="00223692">
        <w:rPr>
          <w:rFonts w:ascii="Arial" w:eastAsia="Times New Roman" w:hAnsi="Arial" w:cs="Arial"/>
          <w:u w:val="single"/>
          <w:lang w:val="mk-MK"/>
        </w:rPr>
        <w:t>veprimtarinë</w:t>
      </w:r>
      <w:r w:rsidRPr="00223692">
        <w:rPr>
          <w:rFonts w:ascii="Arial" w:eastAsia="Times New Roman" w:hAnsi="Arial" w:cs="Arial"/>
          <w:lang w:val="mk-MK"/>
        </w:rPr>
        <w:t xml:space="preserve"> </w:t>
      </w:r>
      <w:r w:rsidRPr="00223692">
        <w:rPr>
          <w:rFonts w:ascii="Arial" w:eastAsia="Times New Roman" w:hAnsi="Arial" w:cs="Arial"/>
          <w:b/>
          <w:lang w:val="mk-MK"/>
        </w:rPr>
        <w:t xml:space="preserve">Duke vepruar në përputhje me Ligjin për Mbrojtjen e Denoncuesve, aktet nënligjore, Udhëzimet për pranimin e raporteve nga sinjalizuesit, ndarjen dhe përpunimin e të dhënave nga raportet dhe marrjen e masave për të siguruar mbrojtjen e të dhënave personale dhe të dhënave të tjera të Agjencisë </w:t>
      </w:r>
      <w:r w:rsidRPr="00223692">
        <w:rPr>
          <w:rFonts w:ascii="Arial" w:eastAsia="Times New Roman" w:hAnsi="Arial" w:cs="Arial"/>
          <w:lang w:val="mk-MK"/>
        </w:rPr>
        <w:t xml:space="preserve">, </w:t>
      </w:r>
      <w:r w:rsidRPr="00223692">
        <w:rPr>
          <w:rFonts w:ascii="Arial" w:eastAsia="Calibri" w:hAnsi="Arial" w:cs="Arial"/>
          <w:lang w:val="mk-MK" w:eastAsia="x-none"/>
        </w:rPr>
        <w:t xml:space="preserve">brenda afatit të përcaktuar për zbatimin e tij </w:t>
      </w:r>
      <w:r w:rsidRPr="00223692">
        <w:rPr>
          <w:rFonts w:ascii="Arial" w:hAnsi="Arial" w:cs="Arial"/>
          <w:lang w:val="mk-MK"/>
        </w:rPr>
        <w:t xml:space="preserve">, </w:t>
      </w:r>
      <w:r w:rsidRPr="00223692">
        <w:rPr>
          <w:rFonts w:ascii="Arial" w:eastAsia="Times New Roman" w:hAnsi="Arial" w:cs="Arial"/>
          <w:lang w:val="mk-MK"/>
        </w:rPr>
        <w:t xml:space="preserve">personi i autorizuar për marrjen e raporteve nga denoncuesi ka përgatitur </w:t>
      </w:r>
      <w:r w:rsidR="005447BF" w:rsidRPr="00223692">
        <w:rPr>
          <w:rFonts w:ascii="Arial" w:hAnsi="Arial" w:cs="Arial"/>
        </w:rPr>
        <w:t xml:space="preserve">një </w:t>
      </w:r>
      <w:r w:rsidR="005447BF" w:rsidRPr="00223692">
        <w:rPr>
          <w:rFonts w:ascii="Arial" w:hAnsi="Arial" w:cs="Arial"/>
          <w:lang w:val="mk-MK"/>
        </w:rPr>
        <w:t xml:space="preserve">raportues nga denoncuesit gjysma e dytë e vitit 2023 (periudha nga 01. </w:t>
      </w:r>
      <w:r w:rsidR="005447BF" w:rsidRPr="00223692">
        <w:rPr>
          <w:rFonts w:ascii="Arial" w:hAnsi="Arial" w:cs="Arial"/>
        </w:rPr>
        <w:t xml:space="preserve">07.2023 </w:t>
      </w:r>
      <w:r w:rsidR="005447BF" w:rsidRPr="00223692">
        <w:rPr>
          <w:rFonts w:ascii="Arial" w:hAnsi="Arial" w:cs="Arial"/>
          <w:lang w:val="mk-MK"/>
        </w:rPr>
        <w:t xml:space="preserve">deri </w:t>
      </w:r>
      <w:r w:rsidR="005447BF" w:rsidRPr="00223692">
        <w:rPr>
          <w:rFonts w:ascii="Arial" w:hAnsi="Arial" w:cs="Arial"/>
        </w:rPr>
        <w:t xml:space="preserve">më </w:t>
      </w:r>
      <w:r w:rsidR="004471CE">
        <w:rPr>
          <w:rFonts w:ascii="Arial" w:hAnsi="Arial" w:cs="Arial"/>
          <w:lang w:val="mk-MK"/>
        </w:rPr>
        <w:t xml:space="preserve">31.12.2023 </w:t>
      </w:r>
      <w:r w:rsidR="005447BF" w:rsidRPr="00223692">
        <w:rPr>
          <w:rFonts w:ascii="Arial" w:hAnsi="Arial" w:cs="Arial"/>
        </w:rPr>
        <w:t xml:space="preserve">) </w:t>
      </w:r>
      <w:r w:rsidR="005447BF" w:rsidRPr="00223692">
        <w:rPr>
          <w:rFonts w:ascii="Arial" w:hAnsi="Arial" w:cs="Arial"/>
          <w:lang w:val="mk-MK"/>
        </w:rPr>
        <w:t xml:space="preserve">, ark . dhe Raporti gjashtëmujor për raportet e marra nga sinjalizuesit, për gjashtëmujorin e parë të vitit 2024 (periudha 01.01.2024 deri më 30.06.2024), nr. </w:t>
      </w:r>
      <w:r w:rsidR="00EA442B">
        <w:rPr>
          <w:rFonts w:ascii="Arial" w:eastAsia="Times New Roman" w:hAnsi="Arial" w:cs="Arial"/>
          <w:lang w:val="mk-MK"/>
        </w:rPr>
        <w:t xml:space="preserve">dhe janë dorëzuar në KSHPK. </w:t>
      </w:r>
      <w:r w:rsidR="00A6395C">
        <w:rPr>
          <w:rFonts w:ascii="Arial" w:hAnsi="Arial" w:cs="Arial"/>
          <w:lang w:val="mk-MK"/>
        </w:rPr>
        <w:t xml:space="preserve">Në gjysmën e dytë të 2023 / gjysmën e parë të 2024. Asnjë raport i vetëm nga sinjalizuesit nuk është dorëzuar në Agjenci </w:t>
      </w:r>
      <w:r w:rsidR="00753BB6" w:rsidRPr="002A0285">
        <w:rPr>
          <w:rFonts w:ascii="Arial" w:hAnsi="Arial" w:cs="Arial"/>
          <w:color w:val="212121"/>
          <w:lang w:val="mk-MK"/>
        </w:rPr>
        <w:t>. Gjithashtu, është marrë një masë për sigurimin e mbrojtjes së të dhënave personale, me çka në nëntor 2024. nga</w:t>
      </w:r>
      <w:r w:rsidR="004436B1" w:rsidRPr="002A0285">
        <w:rPr>
          <w:rFonts w:ascii="Arial" w:hAnsi="Arial" w:cs="Arial"/>
          <w:color w:val="212121"/>
        </w:rPr>
        <w:t xml:space="preserve"> </w:t>
      </w:r>
      <w:r w:rsidR="00AB2EBC">
        <w:rPr>
          <w:rFonts w:ascii="Arial" w:hAnsi="Arial" w:cs="Arial"/>
          <w:color w:val="212121"/>
          <w:lang w:val="mk-MK"/>
        </w:rPr>
        <w:t xml:space="preserve">Agjencia ka kryer </w:t>
      </w:r>
      <w:bookmarkStart w:id="1" w:name="_Hlk183681107"/>
      <w:r w:rsidR="005301E8" w:rsidRPr="002A0285">
        <w:rPr>
          <w:rFonts w:ascii="Arial" w:hAnsi="Arial" w:cs="Arial"/>
          <w:color w:val="212121"/>
          <w:lang w:val="mk-MK"/>
        </w:rPr>
        <w:t xml:space="preserve">Vlerësimin e </w:t>
      </w:r>
      <w:r w:rsidR="004436B1" w:rsidRPr="00FF3221">
        <w:rPr>
          <w:rFonts w:ascii="Arial" w:hAnsi="Arial" w:cs="Arial"/>
          <w:color w:val="000000" w:themeColor="text1"/>
          <w:lang w:val="mk-MK"/>
        </w:rPr>
        <w:t xml:space="preserve">Ndikimit në Mbrojtjen e të Dhënave Personale </w:t>
      </w:r>
      <w:r w:rsidR="004436B1" w:rsidRPr="002A0285">
        <w:rPr>
          <w:rFonts w:ascii="Arial" w:hAnsi="Arial" w:cs="Arial"/>
          <w:color w:val="212121"/>
          <w:lang w:val="mk-MK"/>
        </w:rPr>
        <w:t xml:space="preserve">për "Regjistrin Elektronik të Sistemit Softuerësh të Rrjeteve të Komunikimeve Elektronike Publike, Ofruesve të Shërbimeve Mediatike Audiovizive sipas Kërkesës, Platforma e Ndarjes së Videove </w:t>
      </w:r>
      <w:bookmarkEnd w:id="1"/>
      <w:r w:rsidR="004436B1" w:rsidRPr="002A0285">
        <w:rPr>
          <w:rFonts w:ascii="Arial" w:hAnsi="Arial" w:cs="Arial"/>
          <w:color w:val="212121"/>
          <w:lang w:val="mk-MK"/>
        </w:rPr>
        <w:t xml:space="preserve">", </w:t>
      </w:r>
      <w:r w:rsidR="00A46D52" w:rsidRPr="00FF3221">
        <w:rPr>
          <w:rFonts w:ascii="Arial" w:hAnsi="Arial" w:cs="Arial"/>
          <w:color w:val="000000" w:themeColor="text1"/>
          <w:lang w:val="mk-MK"/>
        </w:rPr>
        <w:t>nr</w:t>
      </w:r>
      <w:r w:rsidR="00A46D52" w:rsidRPr="00FF3221">
        <w:rPr>
          <w:rFonts w:ascii="Arial" w:hAnsi="Arial" w:cs="Arial"/>
          <w:color w:val="000000" w:themeColor="text1"/>
        </w:rPr>
        <w:t xml:space="preserve"> </w:t>
      </w:r>
      <w:r w:rsidR="00A46D52" w:rsidRPr="00FF3221">
        <w:rPr>
          <w:rFonts w:ascii="Arial" w:hAnsi="Arial" w:cs="Arial"/>
          <w:color w:val="000000" w:themeColor="text1"/>
          <w:lang w:val="mk-MK"/>
        </w:rPr>
        <w:t>nga</w:t>
      </w:r>
      <w:r w:rsidR="00A46D52" w:rsidRPr="00FF3221">
        <w:rPr>
          <w:rFonts w:ascii="Arial" w:hAnsi="Arial" w:cs="Arial"/>
          <w:color w:val="000000" w:themeColor="text1"/>
        </w:rPr>
        <w:t xml:space="preserve"> </w:t>
      </w:r>
      <w:r w:rsidR="00A46D52" w:rsidRPr="00FF3221">
        <w:rPr>
          <w:rFonts w:ascii="Arial" w:hAnsi="Arial" w:cs="Arial"/>
          <w:color w:val="000000" w:themeColor="text1"/>
          <w:lang w:val="mk-MK"/>
        </w:rPr>
        <w:t>28.11.2024</w:t>
      </w:r>
      <w:r w:rsidR="00A46D52" w:rsidRPr="00FF3221">
        <w:rPr>
          <w:rFonts w:ascii="Arial" w:hAnsi="Arial" w:cs="Arial"/>
          <w:color w:val="000000" w:themeColor="text1"/>
        </w:rPr>
        <w:t>​</w:t>
      </w:r>
    </w:p>
    <w:p w14:paraId="29B2F842" w14:textId="77777777" w:rsidR="004436B1" w:rsidRPr="004436B1" w:rsidRDefault="004436B1" w:rsidP="004436B1">
      <w:pPr>
        <w:spacing w:after="0" w:line="240" w:lineRule="auto"/>
        <w:jc w:val="both"/>
        <w:rPr>
          <w:rFonts w:ascii="Arial" w:hAnsi="Arial" w:cs="Arial"/>
          <w:color w:val="212121"/>
          <w:lang w:val="mk-MK"/>
        </w:rPr>
      </w:pPr>
    </w:p>
    <w:p w14:paraId="51EABE5D" w14:textId="77777777" w:rsidR="00A47E0A" w:rsidRPr="00223692" w:rsidRDefault="000966AF" w:rsidP="00393FAB">
      <w:pPr>
        <w:pStyle w:val="ListParagraph"/>
        <w:numPr>
          <w:ilvl w:val="0"/>
          <w:numId w:val="6"/>
        </w:numPr>
        <w:spacing w:after="0" w:line="240" w:lineRule="auto"/>
        <w:ind w:left="450" w:hanging="630"/>
        <w:jc w:val="both"/>
        <w:rPr>
          <w:rFonts w:ascii="Arial" w:hAnsi="Arial" w:cs="Arial"/>
        </w:rPr>
      </w:pPr>
      <w:r w:rsidRPr="00223692">
        <w:rPr>
          <w:rFonts w:ascii="Arial" w:eastAsia="Times New Roman" w:hAnsi="Arial" w:cs="Arial"/>
          <w:u w:val="single"/>
          <w:lang w:val="mk-MK"/>
        </w:rPr>
        <w:t>Në fushën 4: Prokurimi publik</w:t>
      </w:r>
    </w:p>
    <w:p w14:paraId="7A216CCD" w14:textId="77777777" w:rsidR="00847FFB" w:rsidRPr="00847FFB" w:rsidRDefault="000966AF" w:rsidP="00847FFB">
      <w:pPr>
        <w:pStyle w:val="ListParagraph"/>
        <w:numPr>
          <w:ilvl w:val="0"/>
          <w:numId w:val="2"/>
        </w:numPr>
        <w:spacing w:after="0" w:line="240" w:lineRule="auto"/>
        <w:jc w:val="both"/>
        <w:rPr>
          <w:rFonts w:ascii="Arial" w:hAnsi="Arial" w:cs="Arial"/>
        </w:rPr>
      </w:pPr>
      <w:r w:rsidRPr="00223692">
        <w:rPr>
          <w:rFonts w:ascii="Arial" w:eastAsia="Times New Roman" w:hAnsi="Arial" w:cs="Arial"/>
          <w:lang w:val="mk-MK"/>
        </w:rPr>
        <w:t xml:space="preserve">në lidhje me </w:t>
      </w:r>
      <w:r w:rsidRPr="00223692">
        <w:rPr>
          <w:rFonts w:ascii="Arial" w:hAnsi="Arial" w:cs="Arial"/>
          <w:u w:val="single"/>
          <w:lang w:val="mk-MK"/>
        </w:rPr>
        <w:t>veprimtarinë</w:t>
      </w:r>
      <w:r w:rsidRPr="00223692">
        <w:rPr>
          <w:rFonts w:ascii="Arial" w:hAnsi="Arial" w:cs="Arial"/>
          <w:lang w:val="mk-MK"/>
        </w:rPr>
        <w:t xml:space="preserve"> </w:t>
      </w:r>
      <w:r w:rsidRPr="00223692">
        <w:rPr>
          <w:rFonts w:ascii="Arial" w:hAnsi="Arial" w:cs="Arial"/>
          <w:b/>
          <w:lang w:val="mk-MK"/>
        </w:rPr>
        <w:t xml:space="preserve">Inkurajimi i konsistencës së vazhdueshme në përputhje me legjislacionin përkatës dhe procedurat e brendshme ISO për të gjithë personat pjesëmarrës në procesin e prokurimit publik </w:t>
      </w:r>
      <w:r w:rsidRPr="00223692">
        <w:rPr>
          <w:rFonts w:ascii="Arial" w:hAnsi="Arial" w:cs="Arial"/>
          <w:lang w:val="mk-MK"/>
        </w:rPr>
        <w:t xml:space="preserve">, dhe për të reduktuar </w:t>
      </w:r>
      <w:r w:rsidRPr="00355A3C">
        <w:rPr>
          <w:rFonts w:ascii="Arial" w:eastAsia="Times New Roman" w:hAnsi="Arial" w:cs="Arial"/>
          <w:lang w:val="mk-MK"/>
        </w:rPr>
        <w:t xml:space="preserve">rrezikun </w:t>
      </w:r>
      <w:r w:rsidRPr="00355A3C">
        <w:rPr>
          <w:rFonts w:ascii="Arial" w:hAnsi="Arial" w:cs="Arial"/>
          <w:lang w:val="mk-MK"/>
        </w:rPr>
        <w:t xml:space="preserve">- </w:t>
      </w:r>
      <w:r w:rsidRPr="00355A3C">
        <w:rPr>
          <w:rFonts w:ascii="Arial" w:hAnsi="Arial" w:cs="Arial"/>
          <w:bCs/>
          <w:lang w:val="mk-MK"/>
        </w:rPr>
        <w:t xml:space="preserve">Planifikimi jo adekuat i nevojave dhe procedurave të prokurimit publik </w:t>
      </w:r>
      <w:r w:rsidR="00DD013F" w:rsidRPr="00223692">
        <w:rPr>
          <w:rFonts w:ascii="Arial" w:hAnsi="Arial" w:cs="Arial"/>
          <w:lang w:val="mk-MK"/>
        </w:rPr>
        <w:t xml:space="preserve">, janë marrë masat e përcaktuara - </w:t>
      </w:r>
      <w:r w:rsidRPr="00223692">
        <w:rPr>
          <w:rFonts w:ascii="Arial" w:hAnsi="Arial" w:cs="Arial"/>
        </w:rPr>
        <w:t xml:space="preserve">Analiza </w:t>
      </w:r>
      <w:r w:rsidRPr="00223692">
        <w:rPr>
          <w:rFonts w:ascii="Arial" w:hAnsi="Arial" w:cs="Arial"/>
          <w:lang w:val="mk-MK"/>
        </w:rPr>
        <w:t>dhe vlerësime objektive të prokurimit publik dhe përfshirja e më shumë personave në planifikimin e prokurimit publik, në një mënyrë të tillë.</w:t>
      </w:r>
      <w:r w:rsidR="00DD013F" w:rsidRPr="00223692">
        <w:rPr>
          <w:rFonts w:ascii="Arial" w:hAnsi="Arial" w:cs="Arial"/>
          <w:lang w:val="sq-AL"/>
        </w:rPr>
        <w:t xml:space="preserve"> </w:t>
      </w:r>
      <w:r w:rsidR="00DD013F" w:rsidRPr="00223692">
        <w:rPr>
          <w:rFonts w:ascii="Arial" w:hAnsi="Arial" w:cs="Arial"/>
          <w:lang w:val="mk-MK"/>
        </w:rPr>
        <w:t>Njësitë organizative në Agjenci kanë bërë një analizë dhe vlerësim objektiv real të vlerës së kontratave të prokurimit publik që ishin planifikuar të realizoheshin në vitin 2024. dhe të gjitha njësitë organizative në Agjenci janë përfshirë në mënyrë aktive në planifikimin e prokurimit publik duke dorëzuar propozimet e tyre për përgatitjen e planit vjetor të prokurimit publik.</w:t>
      </w:r>
    </w:p>
    <w:p w14:paraId="65C3A137" w14:textId="121A60A5" w:rsidR="007D3693" w:rsidRPr="00847FFB" w:rsidRDefault="00847FFB" w:rsidP="00847FFB">
      <w:pPr>
        <w:pStyle w:val="ListParagraph"/>
        <w:numPr>
          <w:ilvl w:val="0"/>
          <w:numId w:val="2"/>
        </w:numPr>
        <w:spacing w:after="0" w:line="240" w:lineRule="auto"/>
        <w:jc w:val="both"/>
        <w:rPr>
          <w:rFonts w:ascii="Arial" w:hAnsi="Arial" w:cs="Arial"/>
        </w:rPr>
      </w:pPr>
      <w:r>
        <w:rPr>
          <w:rFonts w:ascii="Arial" w:hAnsi="Arial" w:cs="Arial"/>
          <w:lang w:val="mk-MK"/>
        </w:rPr>
        <w:t xml:space="preserve">Gjithashtu, në lidhje me aktivitetin e sipërpërmendur, nga auditori i brendshëm nga Shërbimi i Auditimit të Brendshëm (SNK) të Agjencisë, në periudhën prej datës 09.01.2024. Deri më 13.04.2024, në përputhje me Planin Strategjik dhe Vjetor të RVSH-së për vitin 2024, është kryer auditimi i procesit të prokurimit publik për vitin 2023, pas të cilit është përgatitur Raporti Përfundimtar, i datës 02.05.2024, me nr. menti kryhet në përputhje me aktet ligjore dhe nënligjore përkatëse. Në të njëjtën kohë, </w:t>
      </w:r>
      <w:r w:rsidR="007D3693" w:rsidRPr="00847FFB">
        <w:rPr>
          <w:rFonts w:ascii="Arial" w:eastAsia="Times New Roman" w:hAnsi="Arial" w:cs="Arial"/>
          <w:color w:val="212121"/>
          <w:lang w:val="mk-MK"/>
        </w:rPr>
        <w:t xml:space="preserve">u krye një kontroll ricertifikimi për respektimin </w:t>
      </w:r>
      <w:r w:rsidR="007D3693" w:rsidRPr="00847FFB">
        <w:rPr>
          <w:rFonts w:ascii="Arial" w:hAnsi="Arial" w:cs="Arial"/>
          <w:color w:val="212121"/>
          <w:lang w:val="mk-MK"/>
        </w:rPr>
        <w:t xml:space="preserve">e procedurës ISO për zbatimin e procedurave të prokurimit publik </w:t>
      </w:r>
      <w:r w:rsidR="007D3693" w:rsidRPr="00847FFB">
        <w:rPr>
          <w:rFonts w:ascii="Arial" w:hAnsi="Arial" w:cs="Arial"/>
          <w:color w:val="212121"/>
        </w:rPr>
        <w:t>.</w:t>
      </w:r>
      <w:r w:rsidR="007D3693" w:rsidRPr="00847FFB">
        <w:rPr>
          <w:rFonts w:ascii="Arial" w:eastAsia="Times New Roman" w:hAnsi="Arial" w:cs="Arial"/>
          <w:color w:val="212121"/>
          <w:lang w:val="mk-MK"/>
        </w:rPr>
        <w:t xml:space="preserve"> </w:t>
      </w:r>
      <w:r w:rsidR="007D3693" w:rsidRPr="00847FFB">
        <w:rPr>
          <w:rFonts w:ascii="Arial" w:hAnsi="Arial" w:cs="Arial"/>
          <w:color w:val="212121"/>
          <w:lang w:val="mk-MK"/>
        </w:rPr>
        <w:t xml:space="preserve">më 20 shtator 2024. </w:t>
      </w:r>
      <w:r w:rsidR="007D3693" w:rsidRPr="00847FFB">
        <w:rPr>
          <w:rFonts w:ascii="Arial" w:eastAsia="Times New Roman" w:hAnsi="Arial" w:cs="Arial"/>
          <w:color w:val="212121"/>
          <w:lang w:val="mk-MK"/>
        </w:rPr>
        <w:t xml:space="preserve">nga </w:t>
      </w:r>
      <w:r w:rsidR="007D3693" w:rsidRPr="00847FFB">
        <w:rPr>
          <w:rFonts w:ascii="Arial" w:hAnsi="Arial" w:cs="Arial"/>
          <w:color w:val="212121"/>
          <w:lang w:val="mk-MK"/>
        </w:rPr>
        <w:t xml:space="preserve">organi </w:t>
      </w:r>
      <w:r w:rsidR="007D3693" w:rsidRPr="00847FFB">
        <w:rPr>
          <w:rFonts w:ascii="Arial" w:hAnsi="Arial" w:cs="Arial"/>
          <w:color w:val="212121"/>
        </w:rPr>
        <w:t xml:space="preserve">certifikues organi - </w:t>
      </w:r>
      <w:r w:rsidR="007D3693" w:rsidRPr="00847FFB">
        <w:rPr>
          <w:rFonts w:ascii="Arial" w:hAnsi="Arial" w:cs="Arial"/>
          <w:color w:val="212121"/>
          <w:lang w:eastAsia="en-GB"/>
        </w:rPr>
        <w:t xml:space="preserve">Shoqëria për shërbimet </w:t>
      </w:r>
      <w:r w:rsidR="007D3693" w:rsidRPr="00847FFB">
        <w:rPr>
          <w:rFonts w:ascii="Arial" w:hAnsi="Arial" w:cs="Arial"/>
          <w:color w:val="212121"/>
        </w:rPr>
        <w:t xml:space="preserve">“ </w:t>
      </w:r>
      <w:r w:rsidR="007D3693" w:rsidRPr="00847FFB">
        <w:rPr>
          <w:rFonts w:ascii="Arial" w:hAnsi="Arial" w:cs="Arial"/>
          <w:color w:val="212121"/>
          <w:lang w:val="mk-MK"/>
        </w:rPr>
        <w:t xml:space="preserve">INTERCERT </w:t>
      </w:r>
      <w:r w:rsidR="007D3693" w:rsidRPr="00847FFB">
        <w:rPr>
          <w:rFonts w:ascii="Arial" w:hAnsi="Arial" w:cs="Arial"/>
          <w:color w:val="212121"/>
        </w:rPr>
        <w:t xml:space="preserve">” </w:t>
      </w:r>
      <w:r w:rsidR="007D3693" w:rsidRPr="00847FFB">
        <w:rPr>
          <w:rFonts w:ascii="Arial" w:hAnsi="Arial" w:cs="Arial"/>
          <w:color w:val="212121"/>
          <w:lang w:eastAsia="en-GB"/>
        </w:rPr>
        <w:t xml:space="preserve">SH.PK Shkup </w:t>
      </w:r>
      <w:r w:rsidR="007D3693" w:rsidRPr="00847FFB">
        <w:rPr>
          <w:rFonts w:ascii="Arial" w:hAnsi="Arial" w:cs="Arial"/>
          <w:color w:val="212121"/>
          <w:lang w:val="mk-MK"/>
        </w:rPr>
        <w:t xml:space="preserve">, dhe </w:t>
      </w:r>
      <w:r w:rsidR="006542F8" w:rsidRPr="00847FFB">
        <w:rPr>
          <w:rFonts w:ascii="Arial" w:hAnsi="Arial" w:cs="Arial"/>
          <w:color w:val="212121"/>
        </w:rPr>
        <w:t xml:space="preserve">kredituar </w:t>
      </w:r>
      <w:r w:rsidR="007D3693" w:rsidRPr="00847FFB">
        <w:rPr>
          <w:rFonts w:ascii="Arial" w:hAnsi="Arial" w:cs="Arial"/>
          <w:color w:val="212121"/>
        </w:rPr>
        <w:t xml:space="preserve">nga Instituti për Akreditimi për certifikimit në sistemet për cilësi </w:t>
      </w:r>
      <w:r w:rsidR="007D3693" w:rsidRPr="00847FFB">
        <w:rPr>
          <w:rFonts w:ascii="Arial" w:eastAsia="Times New Roman" w:hAnsi="Arial" w:cs="Arial"/>
          <w:color w:val="212121"/>
          <w:lang w:val="mk-MK"/>
        </w:rPr>
        <w:t>. Në Raportin e Inspektimit Nr. 03-53-R1-09/2024 datë 26 shtator 2024, nuk u konstatuan mospërputhje me kërkesat e standardit ISO 9001:2015.</w:t>
      </w:r>
    </w:p>
    <w:p w14:paraId="1D0CA2D5" w14:textId="76256CCF" w:rsidR="007A73BE" w:rsidRPr="003F6E7B" w:rsidRDefault="009A16A6" w:rsidP="003F6E7B">
      <w:pPr>
        <w:pStyle w:val="ListParagraph"/>
        <w:numPr>
          <w:ilvl w:val="0"/>
          <w:numId w:val="2"/>
        </w:numPr>
        <w:spacing w:after="0" w:line="240" w:lineRule="auto"/>
        <w:jc w:val="both"/>
        <w:rPr>
          <w:rFonts w:ascii="Arial" w:hAnsi="Arial" w:cs="Arial"/>
        </w:rPr>
      </w:pPr>
      <w:r w:rsidRPr="002A5316">
        <w:rPr>
          <w:rFonts w:ascii="Arial" w:hAnsi="Arial" w:cs="Arial"/>
          <w:lang w:val="mk-MK"/>
        </w:rPr>
        <w:t xml:space="preserve">Për të zvogëluar </w:t>
      </w:r>
      <w:r w:rsidRPr="002A5316">
        <w:rPr>
          <w:rFonts w:ascii="Arial" w:eastAsia="Times New Roman" w:hAnsi="Arial" w:cs="Arial"/>
          <w:u w:val="single"/>
          <w:lang w:val="mk-MK"/>
        </w:rPr>
        <w:t xml:space="preserve">rrezikun e </w:t>
      </w:r>
      <w:r w:rsidRPr="002A5316">
        <w:rPr>
          <w:rFonts w:ascii="Arial" w:hAnsi="Arial" w:cs="Arial"/>
          <w:b/>
          <w:lang w:val="mk-MK"/>
        </w:rPr>
        <w:t xml:space="preserve">kontrollit të pamjaftueshëm të Agjencisë mbi zbatimin e kontratave të prokurimit publik </w:t>
      </w:r>
      <w:r w:rsidRPr="002A5316">
        <w:rPr>
          <w:rFonts w:ascii="Arial" w:hAnsi="Arial" w:cs="Arial"/>
          <w:lang w:val="mk-MK"/>
        </w:rPr>
        <w:t xml:space="preserve">, </w:t>
      </w:r>
      <w:r w:rsidR="002A5316" w:rsidRPr="002A5316">
        <w:rPr>
          <w:rFonts w:ascii="Arial" w:eastAsia="Aptos" w:hAnsi="Arial" w:cs="Arial"/>
          <w:lang w:val="mk-MK"/>
        </w:rPr>
        <w:t xml:space="preserve">është caktuar një person për monitorimin e zbatimit të kontratave të prokurimit publik, i cili do të monitorojë ekzekutimin e kontratës, e cila është futur si një aktivitet i ri në Sistemin Elektronik të Prokurimit </w:t>
      </w:r>
      <w:r w:rsidR="002A5316" w:rsidRPr="002A5316">
        <w:rPr>
          <w:rFonts w:ascii="Arial" w:eastAsia="Aptos" w:hAnsi="Arial" w:cs="Arial"/>
          <w:lang w:val="mk-MK"/>
        </w:rPr>
        <w:lastRenderedPageBreak/>
        <w:t xml:space="preserve">Publik (SPEPS) nga Byroja e Prokurimit Publik </w:t>
      </w:r>
      <w:r w:rsidR="002A5316" w:rsidRPr="002A5316">
        <w:rPr>
          <w:rFonts w:ascii="Arial" w:hAnsi="Arial" w:cs="Arial"/>
          <w:lang w:val="mk-MK"/>
        </w:rPr>
        <w:t xml:space="preserve">. Në të njëjtën kohë, për të zvogëluar rrezikun në fjalë </w:t>
      </w:r>
      <w:r w:rsidR="00295CDC" w:rsidRPr="003F6E7B">
        <w:rPr>
          <w:rFonts w:ascii="Arial" w:hAnsi="Arial" w:cs="Arial"/>
          <w:b/>
          <w:lang w:val="mk-MK"/>
        </w:rPr>
        <w:t xml:space="preserve">, </w:t>
      </w:r>
      <w:r w:rsidR="002A5316" w:rsidRPr="003F6E7B">
        <w:rPr>
          <w:rFonts w:ascii="Arial" w:hAnsi="Arial" w:cs="Arial"/>
          <w:lang w:val="mk-MK"/>
        </w:rPr>
        <w:t xml:space="preserve">është ndërmarrë aktiviteti i përcaktuar - Përfshirja më e madhe e të gjithë sektorëve në monitorimin e zbatimit të kontratave të prokurimit publik të lidhur, në mënyrë që të gjitha njësitë organizative në Agjenci, pas çdo prokurimi publik dhe inspektimit të shërbimit të kryer brenda juridiksionit të tyre, të përgatisin një raport për kryerjen e shërbimit, në përputhje me kriteret e kryera oferta e pranuar dhe kontrata e prokurimit publik. Gjithashtu, </w:t>
      </w:r>
      <w:r w:rsidR="006C4A51" w:rsidRPr="003F6E7B">
        <w:rPr>
          <w:rFonts w:ascii="Arial" w:eastAsia="Times New Roman" w:hAnsi="Arial" w:cs="Arial"/>
          <w:lang w:val="mk-MK"/>
        </w:rPr>
        <w:t xml:space="preserve">disa persona të punësuar në SFL janë përfshirë në vazhdimësi në procesin e monitorimit dhe zbatimit të kontratave të prokurimit publik, </w:t>
      </w:r>
      <w:r w:rsidR="006C4A51" w:rsidRPr="003F6E7B">
        <w:rPr>
          <w:rFonts w:ascii="Arial" w:hAnsi="Arial" w:cs="Arial"/>
          <w:lang w:val="mk-MK"/>
        </w:rPr>
        <w:t>ndërsa me rastin e pranimit të mallit, një punonjës i SFL ka përgatitur një faturë ku konfirmon se malli është dorëzuar i plotë me çmim dhe sasi në përputhje me kërkesën e Agjencisë dhe kontratën e prokurimit publik. Pas kryerjes së pagesës, njëri nga punonjësit e SFL ka postuar faturën në fjalë, ndërsa një punonjës tjetër i SFL-së e ka regjistruar faturën në një fletë Excel në dosjen - "Dokumentet e përbashkëta", me qëllim që të regjistrojë pagesën dhe të mbajë shënime për kontratat e realizuara, në mënyrë që punonjësit e Agjencisë në çdo kohë të kenë pasqyrë se sa para i ka mbetur në përputhje me kontratën.</w:t>
      </w:r>
    </w:p>
    <w:p w14:paraId="08CF95C8" w14:textId="77777777" w:rsidR="00F1722C" w:rsidRPr="00223692" w:rsidRDefault="00D35660" w:rsidP="00393FAB">
      <w:pPr>
        <w:pStyle w:val="ListParagraph"/>
        <w:numPr>
          <w:ilvl w:val="0"/>
          <w:numId w:val="2"/>
        </w:numPr>
        <w:spacing w:after="0" w:line="240" w:lineRule="auto"/>
        <w:jc w:val="both"/>
        <w:rPr>
          <w:rFonts w:ascii="Arial" w:hAnsi="Arial" w:cs="Arial"/>
        </w:rPr>
      </w:pPr>
      <w:r w:rsidRPr="00223692">
        <w:rPr>
          <w:rFonts w:ascii="Arial" w:eastAsia="Times New Roman" w:hAnsi="Arial" w:cs="Arial"/>
          <w:lang w:val="mk-MK"/>
        </w:rPr>
        <w:t>Gjatë vitit 2024, nuk janë raportuar përpjekje për të ndikuar anëtarët e komisioneve të prokurimit publik.</w:t>
      </w:r>
    </w:p>
    <w:p w14:paraId="1EB1C950" w14:textId="77777777" w:rsidR="009F7AF7" w:rsidRDefault="009F7AF7" w:rsidP="009F7AF7">
      <w:pPr>
        <w:pStyle w:val="ListParagraph"/>
        <w:spacing w:after="0" w:line="240" w:lineRule="auto"/>
        <w:ind w:left="1080"/>
        <w:jc w:val="both"/>
        <w:rPr>
          <w:rFonts w:ascii="Arial" w:hAnsi="Arial" w:cs="Arial"/>
          <w:sz w:val="16"/>
          <w:szCs w:val="16"/>
          <w:lang w:val="mk-MK"/>
        </w:rPr>
      </w:pPr>
    </w:p>
    <w:p w14:paraId="15AACEBA" w14:textId="77777777" w:rsidR="00ED5D21" w:rsidRDefault="00ED5D21" w:rsidP="009F7AF7">
      <w:pPr>
        <w:pStyle w:val="ListParagraph"/>
        <w:spacing w:after="0" w:line="240" w:lineRule="auto"/>
        <w:ind w:left="1080"/>
        <w:jc w:val="both"/>
        <w:rPr>
          <w:rFonts w:ascii="Arial" w:hAnsi="Arial" w:cs="Arial"/>
          <w:sz w:val="16"/>
          <w:szCs w:val="16"/>
          <w:lang w:val="mk-MK"/>
        </w:rPr>
      </w:pPr>
    </w:p>
    <w:p w14:paraId="4CDE4DE5" w14:textId="77777777" w:rsidR="00ED5D21" w:rsidRDefault="00ED5D21" w:rsidP="009F7AF7">
      <w:pPr>
        <w:pStyle w:val="ListParagraph"/>
        <w:spacing w:after="0" w:line="240" w:lineRule="auto"/>
        <w:ind w:left="1080"/>
        <w:jc w:val="both"/>
        <w:rPr>
          <w:rFonts w:ascii="Arial" w:hAnsi="Arial" w:cs="Arial"/>
          <w:sz w:val="16"/>
          <w:szCs w:val="16"/>
          <w:lang w:val="mk-MK"/>
        </w:rPr>
      </w:pPr>
    </w:p>
    <w:p w14:paraId="680757CD" w14:textId="77777777" w:rsidR="00ED5D21" w:rsidRDefault="00ED5D21" w:rsidP="009F7AF7">
      <w:pPr>
        <w:pStyle w:val="ListParagraph"/>
        <w:spacing w:after="0" w:line="240" w:lineRule="auto"/>
        <w:ind w:left="1080"/>
        <w:jc w:val="both"/>
        <w:rPr>
          <w:rFonts w:ascii="Arial" w:hAnsi="Arial" w:cs="Arial"/>
          <w:sz w:val="16"/>
          <w:szCs w:val="16"/>
          <w:lang w:val="mk-MK"/>
        </w:rPr>
      </w:pPr>
    </w:p>
    <w:p w14:paraId="759110F8" w14:textId="77777777" w:rsidR="00ED5D21" w:rsidRDefault="00ED5D21" w:rsidP="009F7AF7">
      <w:pPr>
        <w:pStyle w:val="ListParagraph"/>
        <w:spacing w:after="0" w:line="240" w:lineRule="auto"/>
        <w:ind w:left="1080"/>
        <w:jc w:val="both"/>
        <w:rPr>
          <w:rFonts w:ascii="Arial" w:hAnsi="Arial" w:cs="Arial"/>
          <w:sz w:val="16"/>
          <w:szCs w:val="16"/>
          <w:lang w:val="mk-MK"/>
        </w:rPr>
      </w:pPr>
    </w:p>
    <w:p w14:paraId="46C181AA" w14:textId="77777777" w:rsidR="00ED5D21" w:rsidRPr="00ED5D21" w:rsidRDefault="00ED5D21" w:rsidP="009F7AF7">
      <w:pPr>
        <w:pStyle w:val="ListParagraph"/>
        <w:spacing w:after="0" w:line="240" w:lineRule="auto"/>
        <w:ind w:left="1080"/>
        <w:jc w:val="both"/>
        <w:rPr>
          <w:rFonts w:ascii="Arial" w:hAnsi="Arial" w:cs="Arial"/>
          <w:sz w:val="16"/>
          <w:szCs w:val="16"/>
          <w:lang w:val="mk-MK"/>
        </w:rPr>
      </w:pPr>
    </w:p>
    <w:p w14:paraId="2584C99F" w14:textId="77777777" w:rsidR="000966AF" w:rsidRPr="00223692" w:rsidRDefault="000966AF" w:rsidP="00393FAB">
      <w:pPr>
        <w:pStyle w:val="ListParagraph"/>
        <w:numPr>
          <w:ilvl w:val="0"/>
          <w:numId w:val="4"/>
        </w:numPr>
        <w:spacing w:after="0" w:line="240" w:lineRule="auto"/>
        <w:ind w:hanging="540"/>
        <w:jc w:val="both"/>
        <w:rPr>
          <w:rFonts w:ascii="Arial" w:hAnsi="Arial" w:cs="Arial"/>
        </w:rPr>
      </w:pPr>
      <w:r w:rsidRPr="00223692">
        <w:rPr>
          <w:rFonts w:ascii="Arial" w:eastAsia="Times New Roman" w:hAnsi="Arial" w:cs="Arial"/>
          <w:u w:val="single"/>
          <w:lang w:val="mk-MK"/>
        </w:rPr>
        <w:t xml:space="preserve">Në fushën 5: </w:t>
      </w:r>
      <w:r w:rsidRPr="00223692">
        <w:rPr>
          <w:rFonts w:ascii="Arial" w:hAnsi="Arial" w:cs="Arial"/>
          <w:u w:val="single"/>
          <w:lang w:val="mk-MK"/>
        </w:rPr>
        <w:t>Konflikti i interesit në kryerjen e mbikëqyrjes</w:t>
      </w:r>
      <w:r w:rsidRPr="00223692">
        <w:rPr>
          <w:rFonts w:ascii="Arial" w:hAnsi="Arial" w:cs="Arial"/>
          <w:lang w:val="mk-MK"/>
        </w:rPr>
        <w:t xml:space="preserve"> </w:t>
      </w:r>
    </w:p>
    <w:p w14:paraId="72379E25" w14:textId="249BB888" w:rsidR="000227CB" w:rsidRDefault="000966AF" w:rsidP="000966AF">
      <w:pPr>
        <w:pStyle w:val="ListParagraph"/>
        <w:numPr>
          <w:ilvl w:val="0"/>
          <w:numId w:val="2"/>
        </w:numPr>
        <w:spacing w:after="0" w:line="240" w:lineRule="auto"/>
        <w:jc w:val="both"/>
        <w:rPr>
          <w:rFonts w:ascii="Arial" w:hAnsi="Arial" w:cs="Arial"/>
          <w:lang w:val="mk-MK"/>
        </w:rPr>
      </w:pPr>
      <w:r w:rsidRPr="00223692">
        <w:rPr>
          <w:rFonts w:ascii="Arial" w:eastAsia="Times New Roman" w:hAnsi="Arial" w:cs="Arial"/>
          <w:lang w:val="mk-MK"/>
        </w:rPr>
        <w:t xml:space="preserve">në lidhje me </w:t>
      </w:r>
      <w:r w:rsidRPr="00223692">
        <w:rPr>
          <w:rFonts w:ascii="Arial" w:hAnsi="Arial" w:cs="Arial"/>
          <w:u w:val="single"/>
          <w:lang w:val="mk-MK"/>
        </w:rPr>
        <w:t>veprimtarinë e përcaktuar</w:t>
      </w:r>
      <w:r w:rsidRPr="00223692">
        <w:rPr>
          <w:rFonts w:ascii="Arial" w:hAnsi="Arial" w:cs="Arial"/>
          <w:lang w:val="mk-MK"/>
        </w:rPr>
        <w:t xml:space="preserve"> </w:t>
      </w:r>
      <w:r w:rsidRPr="00223692">
        <w:rPr>
          <w:rFonts w:ascii="Arial" w:hAnsi="Arial" w:cs="Arial"/>
          <w:b/>
          <w:lang w:val="mk-MK"/>
        </w:rPr>
        <w:t xml:space="preserve">Ruajtja e nivelit të lartë të rezistencës ndaj korrupsionit në mbikëqyrje dhe vendosja e masave nëpërmjet zbatimit të vazhdueshëm të procedurave ISO, si dhe parandalimi i tentativave të mundshme për ndikim apo presion në mbikëqyrje dhe vendosjen e masave </w:t>
      </w:r>
      <w:r w:rsidR="00C14EC6" w:rsidRPr="00223692">
        <w:rPr>
          <w:rFonts w:ascii="Arial" w:hAnsi="Arial" w:cs="Arial"/>
          <w:lang w:val="mk-MK"/>
        </w:rPr>
        <w:t xml:space="preserve">, u zbatua masa e vendosur - Verifikimi periodik i përputhshmërisë me procedurat ISO gjatë kryerjes së mbikëqyrjes, sigurimi i regjistrimeve, vendosja e masave dhe përfaqësimi para auditorëve të brendshëm në një mënyrë të tillë në gjykatat kompetente,270. ka kryer një kontroll për respektimin e procedurës ISO - Mbikëqyrja e Programit dhe lëshimi i certifikatave për regjistrimin e paketave/shërbimeve programore dhe më datë 18.09.2024. ka bërë kontroll për respektimin e procedurës ISO - Procedurat me rastin e shqiptimit të masave dhe përfaqësimit para gjykatave kompetente në Republikën e Maqedonisë, me çka është konstatuar se të dyja procedurat zbatohen në mënyrë të vazhdueshme. Gjithashtu, në vitin 2024 Gjatë mbikëqyrjes nuk janë vërejtur tentativa për ndikim apo presion, gjegjësisht punëtorët në ato sektorë që kryejnë mbikëqyrje – SPR/SSPZAP/SIPOR/SFL) </w:t>
      </w:r>
      <w:r w:rsidR="00380E5A" w:rsidRPr="00223692">
        <w:rPr>
          <w:rFonts w:ascii="Arial" w:hAnsi="Arial" w:cs="Arial"/>
          <w:bCs/>
          <w:lang w:val="mk-MK"/>
        </w:rPr>
        <w:t xml:space="preserve">nuk kanë raportuar </w:t>
      </w:r>
      <w:r w:rsidR="00380E5A" w:rsidRPr="00223692">
        <w:rPr>
          <w:rFonts w:ascii="Arial" w:hAnsi="Arial" w:cs="Arial"/>
          <w:lang w:val="mk-MK"/>
        </w:rPr>
        <w:t xml:space="preserve">tentime për ndikim apo presion gjatë mbikëqyrjes, si dhe nuk janë raportuar tentime për ndikim apo presion nga punonjësit e SPRPP-së në procedurat për përfaqësim të Agjencisë para gjykatave kompetente në Republikën e Maqedonisë </w:t>
      </w:r>
      <w:r w:rsidR="00380E5A" w:rsidRPr="00223692">
        <w:rPr>
          <w:rFonts w:ascii="Arial" w:hAnsi="Arial" w:cs="Arial"/>
          <w:bCs/>
          <w:lang w:val="mk-MK"/>
        </w:rPr>
        <w:t xml:space="preserve">. Prandaj </w:t>
      </w:r>
      <w:r w:rsidR="00380E5A" w:rsidRPr="00223692">
        <w:rPr>
          <w:rFonts w:ascii="Arial" w:hAnsi="Arial" w:cs="Arial"/>
          <w:lang w:val="mk-MK"/>
        </w:rPr>
        <w:t xml:space="preserve">, nuk ka pasur nevojë të përdoret </w:t>
      </w:r>
      <w:r w:rsidR="00380E5A" w:rsidRPr="00223692">
        <w:rPr>
          <w:rFonts w:ascii="Arial" w:hAnsi="Arial" w:cs="Arial"/>
          <w:bCs/>
          <w:lang w:val="mk-MK"/>
        </w:rPr>
        <w:t xml:space="preserve">Procedura për Raportimin e Përpjekjeve për Presion në Mbikëqyrjen dhe Vendosjen e Masave </w:t>
      </w:r>
      <w:r w:rsidR="00380E5A" w:rsidRPr="00223692">
        <w:rPr>
          <w:rFonts w:ascii="Arial" w:hAnsi="Arial" w:cs="Arial"/>
          <w:lang w:val="mk-MK"/>
        </w:rPr>
        <w:t>.</w:t>
      </w:r>
    </w:p>
    <w:p w14:paraId="5ABAD2EC" w14:textId="6550B666" w:rsidR="00556C33" w:rsidRPr="00556C33" w:rsidRDefault="000227CB" w:rsidP="00556C33">
      <w:pPr>
        <w:pStyle w:val="ListParagraph"/>
        <w:numPr>
          <w:ilvl w:val="0"/>
          <w:numId w:val="2"/>
        </w:numPr>
        <w:spacing w:after="0" w:line="240" w:lineRule="auto"/>
        <w:jc w:val="both"/>
        <w:rPr>
          <w:rFonts w:ascii="Arial" w:hAnsi="Arial" w:cs="Arial"/>
          <w:iCs/>
          <w:color w:val="ED0000"/>
          <w:lang w:val="mk-MK"/>
        </w:rPr>
      </w:pPr>
      <w:r w:rsidRPr="000227CB">
        <w:rPr>
          <w:rFonts w:ascii="Arial" w:hAnsi="Arial" w:cs="Arial"/>
          <w:lang w:val="mk-MK"/>
        </w:rPr>
        <w:t xml:space="preserve">në mënyrë që të zvogëlohet </w:t>
      </w:r>
      <w:r w:rsidRPr="000227CB">
        <w:rPr>
          <w:rFonts w:ascii="Arial" w:eastAsia="Times New Roman" w:hAnsi="Arial" w:cs="Arial"/>
          <w:u w:val="single"/>
          <w:lang w:val="mk-MK"/>
        </w:rPr>
        <w:t>rreziku</w:t>
      </w:r>
      <w:r w:rsidRPr="000227CB">
        <w:rPr>
          <w:rFonts w:ascii="Arial" w:hAnsi="Arial" w:cs="Arial"/>
          <w:b/>
          <w:lang w:val="mk-MK"/>
        </w:rPr>
        <w:t xml:space="preserve"> </w:t>
      </w:r>
      <w:r w:rsidRPr="000227CB">
        <w:rPr>
          <w:rFonts w:ascii="Arial" w:eastAsia="Times New Roman" w:hAnsi="Arial" w:cs="Arial"/>
          <w:b/>
          <w:bCs/>
          <w:lang w:val="mk-MK"/>
        </w:rPr>
        <w:t xml:space="preserve">Zbatim joadekuat i legjislacionit për menaxhimin e konfliktit të interesit, </w:t>
      </w:r>
      <w:r w:rsidR="003F6E7B" w:rsidRPr="003F6E7B">
        <w:rPr>
          <w:rFonts w:ascii="Arial" w:eastAsia="Times New Roman" w:hAnsi="Arial" w:cs="Arial"/>
          <w:lang w:val="mk-MK"/>
        </w:rPr>
        <w:t>brenda afatit të përcaktuar</w:t>
      </w:r>
      <w:r w:rsidR="003F6E7B">
        <w:rPr>
          <w:rFonts w:ascii="Arial" w:eastAsia="Times New Roman" w:hAnsi="Arial" w:cs="Arial"/>
          <w:b/>
          <w:bCs/>
          <w:lang w:val="mk-MK"/>
        </w:rPr>
        <w:t xml:space="preserve"> </w:t>
      </w:r>
      <w:r w:rsidRPr="000227CB">
        <w:rPr>
          <w:rFonts w:ascii="Arial" w:eastAsia="Times New Roman" w:hAnsi="Arial" w:cs="Arial"/>
          <w:lang w:val="mk-MK"/>
        </w:rPr>
        <w:t xml:space="preserve">Është zbatuar aktiviteti i përcaktuar për zhvillimin e procedurës së brendshme për menaxhimin e konfliktit të interesit, me ç'rast </w:t>
      </w:r>
      <w:r w:rsidRPr="00F816CD">
        <w:rPr>
          <w:rFonts w:ascii="Arial" w:hAnsi="Arial" w:cs="Arial"/>
        </w:rPr>
        <w:t xml:space="preserve">personi </w:t>
      </w:r>
      <w:r w:rsidRPr="00F816CD">
        <w:rPr>
          <w:rFonts w:ascii="Arial" w:hAnsi="Arial" w:cs="Arial"/>
          <w:lang w:val="mk-MK"/>
        </w:rPr>
        <w:t>i caktuar</w:t>
      </w:r>
      <w:r w:rsidRPr="00F816CD">
        <w:rPr>
          <w:rFonts w:ascii="Arial" w:hAnsi="Arial" w:cs="Arial"/>
        </w:rPr>
        <w:t xml:space="preserve"> për integriteti dhe i tij </w:t>
      </w:r>
      <w:r w:rsidRPr="00F816CD">
        <w:rPr>
          <w:rFonts w:ascii="Arial" w:hAnsi="Arial" w:cs="Arial"/>
          <w:lang w:val="mk-MK"/>
        </w:rPr>
        <w:t xml:space="preserve">u bë </w:t>
      </w:r>
      <w:r w:rsidRPr="00F816CD">
        <w:rPr>
          <w:rFonts w:ascii="Arial" w:hAnsi="Arial" w:cs="Arial"/>
        </w:rPr>
        <w:t>një deputet</w:t>
      </w:r>
      <w:r w:rsidRPr="00F816CD">
        <w:rPr>
          <w:rFonts w:ascii="Arial" w:eastAsia="Times New Roman" w:hAnsi="Arial" w:cs="Arial"/>
          <w:lang w:val="mk-MK"/>
        </w:rPr>
        <w:t xml:space="preserve"> </w:t>
      </w:r>
      <w:r w:rsidR="00B15DCB">
        <w:rPr>
          <w:rFonts w:ascii="Arial" w:eastAsia="Times New Roman" w:hAnsi="Arial" w:cs="Arial"/>
          <w:lang w:val="mk-MK"/>
        </w:rPr>
        <w:t xml:space="preserve">Procedura e brendshme për menaxhimin e konfliktit të interesit dhe raportimin e </w:t>
      </w:r>
      <w:r w:rsidRPr="00D9342E">
        <w:rPr>
          <w:rFonts w:ascii="Arial" w:hAnsi="Arial" w:cs="Arial"/>
          <w:iCs/>
          <w:lang w:val="mk-MK"/>
        </w:rPr>
        <w:t xml:space="preserve">angazhimeve </w:t>
      </w:r>
      <w:r w:rsidR="00556C33" w:rsidRPr="00F816CD">
        <w:rPr>
          <w:rFonts w:ascii="Arial" w:hAnsi="Arial" w:cs="Arial"/>
          <w:iCs/>
          <w:lang w:val="mk-MK"/>
        </w:rPr>
        <w:t xml:space="preserve">shtesë </w:t>
      </w:r>
      <w:r w:rsidRPr="00D9342E">
        <w:rPr>
          <w:rFonts w:ascii="Arial" w:hAnsi="Arial" w:cs="Arial"/>
          <w:iCs/>
          <w:lang w:val="mk-MK"/>
        </w:rPr>
        <w:t xml:space="preserve">, </w:t>
      </w:r>
      <w:r w:rsidRPr="00D9342E">
        <w:rPr>
          <w:rFonts w:ascii="Arial" w:hAnsi="Arial" w:cs="Arial"/>
          <w:iCs/>
        </w:rPr>
        <w:t xml:space="preserve">nr . </w:t>
      </w:r>
      <w:r w:rsidR="00941289" w:rsidRPr="00D9342E">
        <w:rPr>
          <w:rFonts w:ascii="Arial" w:hAnsi="Arial" w:cs="Arial"/>
          <w:iCs/>
          <w:lang w:val="mk-MK"/>
        </w:rPr>
        <w:t xml:space="preserve">, i cili përcakton detyrat për parandalimin e konfliktit të </w:t>
      </w:r>
      <w:r w:rsidR="00941289" w:rsidRPr="00D9342E">
        <w:rPr>
          <w:rFonts w:ascii="Arial" w:hAnsi="Arial" w:cs="Arial"/>
          <w:iCs/>
          <w:lang w:val="mk-MK"/>
        </w:rPr>
        <w:lastRenderedPageBreak/>
        <w:t>interesit, rrjedhën e procedurës në rast të një konflikti interesi ose konflikti të mundshëm interesi, respektimin e detyrimeve për raportim, ndalimet dhe kufizimet, përgjegjësinë për mospërmbushje të detyrimeve për raportimin e interesave dhe parandalimin e konfliktit të interesit dhe raportimin e angazhimit shtesë, dhe</w:t>
      </w:r>
    </w:p>
    <w:p w14:paraId="4C3A8DB6" w14:textId="77777777" w:rsidR="00B112DC" w:rsidRPr="003F6E7B" w:rsidRDefault="00C93EE5" w:rsidP="000966AF">
      <w:pPr>
        <w:pStyle w:val="ListParagraph"/>
        <w:numPr>
          <w:ilvl w:val="0"/>
          <w:numId w:val="2"/>
        </w:numPr>
        <w:spacing w:after="0" w:line="240" w:lineRule="auto"/>
        <w:jc w:val="both"/>
        <w:rPr>
          <w:rFonts w:ascii="Arial" w:hAnsi="Arial" w:cs="Arial"/>
        </w:rPr>
      </w:pPr>
      <w:r w:rsidRPr="00C93EE5">
        <w:rPr>
          <w:rFonts w:ascii="Arial" w:eastAsia="Times New Roman" w:hAnsi="Arial" w:cs="Arial"/>
          <w:lang w:val="mk-MK"/>
        </w:rPr>
        <w:t xml:space="preserve">Gjatë vitit 2024 nuk </w:t>
      </w:r>
      <w:r w:rsidRPr="00C93EE5">
        <w:rPr>
          <w:rFonts w:ascii="Arial" w:hAnsi="Arial" w:cs="Arial"/>
          <w:lang w:val="mk-MK"/>
        </w:rPr>
        <w:t xml:space="preserve">është raportuar asnjë konflikt interesi nga punonjësit e Agjencisë </w:t>
      </w:r>
      <w:r w:rsidRPr="00C93EE5">
        <w:rPr>
          <w:rFonts w:ascii="Arial" w:eastAsia="Times New Roman" w:hAnsi="Arial" w:cs="Arial"/>
          <w:lang w:val="mk-MK"/>
        </w:rPr>
        <w:t>.</w:t>
      </w:r>
    </w:p>
    <w:p w14:paraId="539F675B" w14:textId="77777777" w:rsidR="00ED5D21" w:rsidRPr="00223692" w:rsidRDefault="00ED5D21" w:rsidP="000966AF">
      <w:pPr>
        <w:spacing w:line="240" w:lineRule="auto"/>
        <w:jc w:val="both"/>
        <w:rPr>
          <w:rFonts w:ascii="Arial" w:hAnsi="Arial" w:cs="Arial"/>
          <w:b/>
          <w:lang w:val="mk-MK"/>
        </w:rPr>
      </w:pPr>
    </w:p>
    <w:p w14:paraId="35A9D295" w14:textId="77777777" w:rsidR="000966AF" w:rsidRPr="00223692" w:rsidRDefault="000966AF" w:rsidP="003F6E7B">
      <w:pPr>
        <w:spacing w:line="240" w:lineRule="auto"/>
        <w:jc w:val="both"/>
        <w:rPr>
          <w:rFonts w:ascii="Arial" w:hAnsi="Arial" w:cs="Arial"/>
          <w:b/>
          <w:lang w:val="mk-MK"/>
        </w:rPr>
      </w:pPr>
      <w:r w:rsidRPr="00223692">
        <w:rPr>
          <w:rFonts w:ascii="Arial" w:hAnsi="Arial" w:cs="Arial"/>
          <w:b/>
          <w:lang w:val="mk-MK"/>
        </w:rPr>
        <w:t>3. Zonat e identifikuara të ndjeshme ndaj korrupsionit në kuadër të fushëveprimit të Agjencisë për Shërbime Mediatike Audio dhe Audiovizive</w:t>
      </w:r>
    </w:p>
    <w:p w14:paraId="4F005C65" w14:textId="77777777" w:rsidR="000966AF" w:rsidRPr="00223692" w:rsidRDefault="000966AF" w:rsidP="000966AF">
      <w:pPr>
        <w:spacing w:after="0" w:line="240" w:lineRule="auto"/>
        <w:ind w:firstLine="360"/>
        <w:jc w:val="both"/>
        <w:rPr>
          <w:rFonts w:ascii="Arial" w:hAnsi="Arial" w:cs="Arial"/>
          <w:lang w:val="mk-MK"/>
        </w:rPr>
      </w:pPr>
      <w:r w:rsidRPr="00223692">
        <w:rPr>
          <w:rFonts w:ascii="Arial" w:hAnsi="Arial" w:cs="Arial"/>
          <w:lang w:val="mk-MK"/>
        </w:rPr>
        <w:t>Bazuar në një vlerësim të faktorëve që ndikojnë në funksionimin e Agjencisë, si dhe në vitin 2024. dhe Plani Vjetor për Vlerësimin e Rreziqeve të Korrupsionit të Agjencisë për Shërbime Mediatike Audio dhe Audiovizive (Agjencia) për vitin 2025, identifikon 5 fusha prioritare ku më së shpeshti ekziston rreziku i korrupsionit:</w:t>
      </w:r>
    </w:p>
    <w:p w14:paraId="5BE5665B" w14:textId="77777777" w:rsidR="000966AF" w:rsidRPr="00223692" w:rsidRDefault="000966AF" w:rsidP="000966AF">
      <w:pPr>
        <w:spacing w:after="0" w:line="240" w:lineRule="auto"/>
        <w:ind w:firstLine="360"/>
        <w:jc w:val="both"/>
        <w:rPr>
          <w:rFonts w:ascii="Arial" w:hAnsi="Arial" w:cs="Arial"/>
          <w:lang w:val="mk-MK"/>
        </w:rPr>
      </w:pPr>
    </w:p>
    <w:p w14:paraId="0A949ED5" w14:textId="77777777" w:rsidR="000966AF" w:rsidRPr="00223692" w:rsidRDefault="000966AF" w:rsidP="00393FAB">
      <w:pPr>
        <w:pStyle w:val="ListParagraph"/>
        <w:numPr>
          <w:ilvl w:val="0"/>
          <w:numId w:val="3"/>
        </w:numPr>
        <w:spacing w:after="0" w:line="240" w:lineRule="auto"/>
        <w:jc w:val="both"/>
        <w:rPr>
          <w:rFonts w:ascii="Arial" w:hAnsi="Arial" w:cs="Arial"/>
          <w:lang w:val="mk-MK"/>
        </w:rPr>
      </w:pPr>
      <w:r w:rsidRPr="00223692">
        <w:rPr>
          <w:rFonts w:ascii="Arial" w:eastAsia="Times New Roman" w:hAnsi="Arial" w:cs="Arial"/>
          <w:lang w:val="mk-MK"/>
        </w:rPr>
        <w:t>Integriteti individual dhe institucional;</w:t>
      </w:r>
    </w:p>
    <w:p w14:paraId="029E08D4" w14:textId="77777777" w:rsidR="000966AF" w:rsidRPr="00223692" w:rsidRDefault="000966AF" w:rsidP="00393FAB">
      <w:pPr>
        <w:pStyle w:val="ListParagraph"/>
        <w:numPr>
          <w:ilvl w:val="0"/>
          <w:numId w:val="3"/>
        </w:numPr>
        <w:spacing w:after="0" w:line="240" w:lineRule="auto"/>
        <w:jc w:val="both"/>
        <w:rPr>
          <w:rFonts w:ascii="Arial" w:hAnsi="Arial" w:cs="Arial"/>
          <w:lang w:val="mk-MK"/>
        </w:rPr>
      </w:pPr>
      <w:r w:rsidRPr="00223692">
        <w:rPr>
          <w:rFonts w:ascii="Arial" w:eastAsia="Times New Roman" w:hAnsi="Arial" w:cs="Arial"/>
          <w:lang w:val="mk-MK"/>
        </w:rPr>
        <w:t>Cilësia e punës në Agjencinë për Shërbime Mediatike Audio dhe Audiovizive;</w:t>
      </w:r>
    </w:p>
    <w:p w14:paraId="03C57061" w14:textId="77777777" w:rsidR="000966AF" w:rsidRPr="00223692" w:rsidRDefault="000966AF" w:rsidP="00393FAB">
      <w:pPr>
        <w:pStyle w:val="ListParagraph"/>
        <w:numPr>
          <w:ilvl w:val="0"/>
          <w:numId w:val="3"/>
        </w:numPr>
        <w:spacing w:after="0" w:line="240" w:lineRule="auto"/>
        <w:jc w:val="both"/>
        <w:rPr>
          <w:rFonts w:ascii="Arial" w:hAnsi="Arial" w:cs="Arial"/>
          <w:lang w:val="mk-MK"/>
        </w:rPr>
      </w:pPr>
      <w:r w:rsidRPr="00223692">
        <w:rPr>
          <w:rFonts w:ascii="Arial" w:eastAsia="Times New Roman" w:hAnsi="Arial" w:cs="Arial"/>
          <w:lang w:val="mk-MK"/>
        </w:rPr>
        <w:t>Veprimi për raportimet e parregullsive dhe raportet nga sinjalizuesit;</w:t>
      </w:r>
    </w:p>
    <w:p w14:paraId="4874F808" w14:textId="77777777" w:rsidR="000966AF" w:rsidRPr="00223692" w:rsidRDefault="00A12835" w:rsidP="00393FAB">
      <w:pPr>
        <w:pStyle w:val="ListParagraph"/>
        <w:numPr>
          <w:ilvl w:val="0"/>
          <w:numId w:val="3"/>
        </w:numPr>
        <w:spacing w:after="0" w:line="240" w:lineRule="auto"/>
        <w:jc w:val="both"/>
        <w:rPr>
          <w:rFonts w:ascii="Arial" w:hAnsi="Arial" w:cs="Arial"/>
          <w:lang w:val="mk-MK"/>
        </w:rPr>
      </w:pPr>
      <w:r w:rsidRPr="00223692">
        <w:rPr>
          <w:rFonts w:ascii="Arial" w:eastAsia="Times New Roman" w:hAnsi="Arial" w:cs="Arial"/>
          <w:lang w:val="mk-MK"/>
        </w:rPr>
        <w:t>Prokurimi publik dhe</w:t>
      </w:r>
    </w:p>
    <w:p w14:paraId="4A5C1D9E" w14:textId="77777777" w:rsidR="000966AF" w:rsidRPr="003F6E7B" w:rsidRDefault="000966AF" w:rsidP="003F6E7B">
      <w:pPr>
        <w:pStyle w:val="ListParagraph"/>
        <w:numPr>
          <w:ilvl w:val="0"/>
          <w:numId w:val="3"/>
        </w:numPr>
        <w:spacing w:after="0" w:line="240" w:lineRule="auto"/>
        <w:jc w:val="both"/>
        <w:rPr>
          <w:rFonts w:ascii="Arial" w:hAnsi="Arial" w:cs="Arial"/>
          <w:lang w:val="mk-MK"/>
        </w:rPr>
      </w:pPr>
      <w:r w:rsidRPr="00223692">
        <w:rPr>
          <w:rFonts w:ascii="Arial" w:hAnsi="Arial" w:cs="Arial"/>
          <w:lang w:val="mk-MK"/>
        </w:rPr>
        <w:t>Konflikti i interesit në kryerjen e mbikëqyrjes.</w:t>
      </w:r>
    </w:p>
    <w:p w14:paraId="4AE91555" w14:textId="77777777" w:rsidR="000966AF" w:rsidRPr="003F6E7B" w:rsidRDefault="000966AF" w:rsidP="003F6E7B">
      <w:pPr>
        <w:spacing w:after="0" w:line="240" w:lineRule="auto"/>
        <w:jc w:val="both"/>
        <w:rPr>
          <w:rFonts w:ascii="Arial" w:hAnsi="Arial" w:cs="Arial"/>
          <w:lang w:val="mk-MK"/>
        </w:rPr>
      </w:pPr>
    </w:p>
    <w:p w14:paraId="6AE43D09" w14:textId="77777777" w:rsidR="000966AF" w:rsidRPr="00223692" w:rsidRDefault="000966AF" w:rsidP="000966AF">
      <w:pPr>
        <w:spacing w:line="240" w:lineRule="auto"/>
        <w:ind w:firstLine="720"/>
        <w:jc w:val="both"/>
        <w:rPr>
          <w:rFonts w:ascii="Arial" w:hAnsi="Arial" w:cs="Arial"/>
          <w:lang w:val="mk-MK"/>
        </w:rPr>
      </w:pPr>
      <w:r w:rsidRPr="00223692">
        <w:rPr>
          <w:rFonts w:ascii="Arial" w:hAnsi="Arial" w:cs="Arial"/>
          <w:lang w:val="mk-MK"/>
        </w:rPr>
        <w:t>Plani i Veprimit për vitin 2025, i cili vijon më poshtë, do të japë një pasqyrë të rrezikut, aktiviteteve, masave, bartësve/njësive organizative kompetente, afatit të zbatimit, implikimeve fiskale dhe vlerësimit të rrezikut, për zbatimin e aktiviteteve përmes të cilave do të zbatoheshin me sukses masat e përcaktuara.</w:t>
      </w:r>
    </w:p>
    <w:p w14:paraId="51067655" w14:textId="77777777" w:rsidR="000966AF" w:rsidRPr="00223692" w:rsidRDefault="000966AF" w:rsidP="000966AF">
      <w:pPr>
        <w:spacing w:line="240" w:lineRule="auto"/>
        <w:jc w:val="both"/>
        <w:rPr>
          <w:rFonts w:ascii="Arial" w:hAnsi="Arial" w:cs="Arial"/>
          <w:lang w:val="mk-MK"/>
        </w:rPr>
        <w:sectPr w:rsidR="000966AF" w:rsidRPr="00223692" w:rsidSect="00660C61">
          <w:headerReference w:type="even" r:id="rId100"/>
          <w:headerReference w:type="default" r:id="rId101"/>
          <w:footerReference w:type="even" r:id="rId102"/>
          <w:footerReference w:type="default" r:id="rId103"/>
          <w:headerReference w:type="first" r:id="rId104"/>
          <w:footerReference w:type="first" r:id="rId105"/>
          <w:pgSz w:w="12240" w:h="15840"/>
          <w:pgMar w:top="540" w:right="1440" w:bottom="1440" w:left="1440" w:header="720" w:footer="720" w:gutter="0"/>
          <w:cols w:space="720"/>
          <w:titlePg/>
          <w:docGrid w:linePitch="360"/>
        </w:sectPr>
      </w:pPr>
    </w:p>
    <w:tbl>
      <w:tblPr>
        <w:tblW w:w="1402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2505"/>
        <w:gridCol w:w="1995"/>
        <w:gridCol w:w="3599"/>
        <w:gridCol w:w="1440"/>
        <w:gridCol w:w="1350"/>
        <w:gridCol w:w="1350"/>
      </w:tblGrid>
      <w:tr w:rsidR="00223692" w:rsidRPr="00223692" w14:paraId="2EFF3076" w14:textId="77777777" w:rsidTr="00C07D43">
        <w:trPr>
          <w:trHeight w:val="170"/>
        </w:trPr>
        <w:tc>
          <w:tcPr>
            <w:tcW w:w="14025" w:type="dxa"/>
            <w:gridSpan w:val="7"/>
            <w:shd w:val="clear" w:color="auto" w:fill="C9C9C9" w:themeFill="accent3" w:themeFillTint="99"/>
          </w:tcPr>
          <w:p w14:paraId="7FF682A7" w14:textId="77777777" w:rsidR="00B20959" w:rsidRPr="00223692" w:rsidRDefault="00B20959" w:rsidP="00F268F8">
            <w:pPr>
              <w:jc w:val="center"/>
              <w:rPr>
                <w:rFonts w:ascii="Arial" w:hAnsi="Arial" w:cs="Arial"/>
                <w:b/>
                <w:sz w:val="18"/>
                <w:szCs w:val="18"/>
              </w:rPr>
            </w:pPr>
            <w:r w:rsidRPr="00223692">
              <w:rPr>
                <w:rFonts w:ascii="Arial" w:hAnsi="Arial" w:cs="Arial"/>
                <w:b/>
                <w:sz w:val="18"/>
                <w:szCs w:val="18"/>
              </w:rPr>
              <w:lastRenderedPageBreak/>
              <w:t xml:space="preserve">4. Veprimi plani për 202 </w:t>
            </w:r>
            <w:r w:rsidR="00DE3551">
              <w:rPr>
                <w:rFonts w:ascii="Arial" w:hAnsi="Arial" w:cs="Arial"/>
                <w:b/>
                <w:sz w:val="18"/>
                <w:szCs w:val="18"/>
                <w:lang w:val="mk-MK"/>
              </w:rPr>
              <w:t>5</w:t>
            </w:r>
            <w:r w:rsidRPr="00223692">
              <w:rPr>
                <w:rFonts w:ascii="Arial" w:hAnsi="Arial" w:cs="Arial"/>
                <w:b/>
                <w:sz w:val="18"/>
                <w:szCs w:val="18"/>
              </w:rPr>
              <w:t xml:space="preserve"> vit</w:t>
            </w:r>
          </w:p>
        </w:tc>
      </w:tr>
      <w:tr w:rsidR="00223692" w:rsidRPr="00223692" w14:paraId="1A4788E9" w14:textId="77777777" w:rsidTr="00C07D43">
        <w:trPr>
          <w:trHeight w:val="233"/>
        </w:trPr>
        <w:tc>
          <w:tcPr>
            <w:tcW w:w="14025" w:type="dxa"/>
            <w:gridSpan w:val="7"/>
            <w:shd w:val="clear" w:color="auto" w:fill="C9C9C9" w:themeFill="accent3" w:themeFillTint="99"/>
          </w:tcPr>
          <w:p w14:paraId="0EF2F902" w14:textId="77777777" w:rsidR="00C07D43" w:rsidRPr="00223692" w:rsidRDefault="00B20959" w:rsidP="00C07D43">
            <w:pPr>
              <w:spacing w:after="0"/>
              <w:rPr>
                <w:rFonts w:ascii="Arial" w:hAnsi="Arial" w:cs="Arial"/>
                <w:b/>
                <w:sz w:val="18"/>
                <w:szCs w:val="18"/>
              </w:rPr>
            </w:pPr>
            <w:r w:rsidRPr="00223692">
              <w:rPr>
                <w:rFonts w:ascii="Arial" w:hAnsi="Arial" w:cs="Arial"/>
                <w:b/>
                <w:sz w:val="18"/>
                <w:szCs w:val="18"/>
              </w:rPr>
              <w:t>Fusha 1: Individuale dhe Institucionale integriteti</w:t>
            </w:r>
          </w:p>
        </w:tc>
      </w:tr>
      <w:tr w:rsidR="00223692" w:rsidRPr="00223692" w14:paraId="59044653" w14:textId="77777777" w:rsidTr="00660C61">
        <w:trPr>
          <w:trHeight w:val="70"/>
        </w:trPr>
        <w:tc>
          <w:tcPr>
            <w:tcW w:w="1786" w:type="dxa"/>
            <w:shd w:val="clear" w:color="auto" w:fill="D9D9D9" w:themeFill="background1" w:themeFillShade="D9"/>
          </w:tcPr>
          <w:p w14:paraId="455C1B8D"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Rreziku</w:t>
            </w:r>
          </w:p>
        </w:tc>
        <w:tc>
          <w:tcPr>
            <w:tcW w:w="2505" w:type="dxa"/>
            <w:shd w:val="clear" w:color="auto" w:fill="D9D9D9" w:themeFill="background1" w:themeFillShade="D9"/>
          </w:tcPr>
          <w:p w14:paraId="7999BFF1"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Aktiviteti</w:t>
            </w:r>
          </w:p>
        </w:tc>
        <w:tc>
          <w:tcPr>
            <w:tcW w:w="1995" w:type="dxa"/>
            <w:shd w:val="clear" w:color="auto" w:fill="D9D9D9" w:themeFill="background1" w:themeFillShade="D9"/>
          </w:tcPr>
          <w:p w14:paraId="1A658AF2"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Masa</w:t>
            </w:r>
          </w:p>
        </w:tc>
        <w:tc>
          <w:tcPr>
            <w:tcW w:w="3599" w:type="dxa"/>
            <w:shd w:val="clear" w:color="auto" w:fill="D9D9D9" w:themeFill="background1" w:themeFillShade="D9"/>
          </w:tcPr>
          <w:p w14:paraId="44902C46" w14:textId="77777777" w:rsidR="00B20959" w:rsidRPr="00223692" w:rsidRDefault="00B20959" w:rsidP="00A353BC">
            <w:pPr>
              <w:spacing w:after="0" w:line="240" w:lineRule="auto"/>
              <w:jc w:val="center"/>
              <w:rPr>
                <w:sz w:val="10"/>
                <w:szCs w:val="10"/>
                <w:lang w:val="mk-MK"/>
              </w:rPr>
            </w:pPr>
            <w:r w:rsidRPr="00223692">
              <w:rPr>
                <w:rFonts w:ascii="Arial" w:eastAsia="Times New Roman" w:hAnsi="Arial" w:cs="Arial"/>
                <w:b/>
                <w:i/>
                <w:sz w:val="18"/>
                <w:szCs w:val="18"/>
                <w:lang w:val="mk-MK"/>
              </w:rPr>
              <w:t>Mbajtës/njësi organizative kompetente</w:t>
            </w:r>
          </w:p>
        </w:tc>
        <w:tc>
          <w:tcPr>
            <w:tcW w:w="1440" w:type="dxa"/>
            <w:shd w:val="clear" w:color="auto" w:fill="D9D9D9" w:themeFill="background1" w:themeFillShade="D9"/>
          </w:tcPr>
          <w:p w14:paraId="69FF4268"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Afati i zbatimit</w:t>
            </w:r>
          </w:p>
        </w:tc>
        <w:tc>
          <w:tcPr>
            <w:tcW w:w="1350" w:type="dxa"/>
            <w:shd w:val="clear" w:color="auto" w:fill="D9D9D9" w:themeFill="background1" w:themeFillShade="D9"/>
          </w:tcPr>
          <w:p w14:paraId="00A38CD7"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Implikimet financiare</w:t>
            </w:r>
          </w:p>
        </w:tc>
        <w:tc>
          <w:tcPr>
            <w:tcW w:w="1350" w:type="dxa"/>
            <w:shd w:val="clear" w:color="auto" w:fill="D9D9D9" w:themeFill="background1" w:themeFillShade="D9"/>
          </w:tcPr>
          <w:p w14:paraId="1D5ECDA7"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 xml:space="preserve">Vlerësimi i rrezikut </w:t>
            </w:r>
            <w:r w:rsidRPr="00223692">
              <w:rPr>
                <w:rFonts w:ascii="Arial" w:eastAsia="Times New Roman" w:hAnsi="Arial" w:cs="Arial"/>
                <w:b/>
                <w:i/>
                <w:sz w:val="18"/>
                <w:szCs w:val="18"/>
                <w:vertAlign w:val="superscript"/>
              </w:rPr>
              <w:t>1</w:t>
            </w:r>
          </w:p>
        </w:tc>
      </w:tr>
      <w:tr w:rsidR="00FF43DA" w:rsidRPr="00223692" w14:paraId="0EB651ED" w14:textId="77777777" w:rsidTr="00660C61">
        <w:trPr>
          <w:trHeight w:val="405"/>
        </w:trPr>
        <w:tc>
          <w:tcPr>
            <w:tcW w:w="1786" w:type="dxa"/>
            <w:vMerge w:val="restart"/>
          </w:tcPr>
          <w:p w14:paraId="140ACE83" w14:textId="77777777" w:rsidR="00FF43DA" w:rsidRPr="00223692" w:rsidRDefault="00FF43DA" w:rsidP="00660C61">
            <w:pPr>
              <w:spacing w:after="0" w:line="240" w:lineRule="auto"/>
              <w:rPr>
                <w:rFonts w:ascii="Arial" w:eastAsia="Times New Roman" w:hAnsi="Arial" w:cs="Arial"/>
                <w:sz w:val="18"/>
                <w:szCs w:val="18"/>
                <w:lang w:val="mk-MK"/>
              </w:rPr>
            </w:pPr>
          </w:p>
          <w:p w14:paraId="7DA1260B" w14:textId="77777777" w:rsidR="00FF43DA" w:rsidRPr="00223692" w:rsidRDefault="00FF43DA" w:rsidP="00660C61">
            <w:pPr>
              <w:spacing w:after="0" w:line="240" w:lineRule="auto"/>
              <w:rPr>
                <w:rFonts w:ascii="Arial" w:eastAsia="Times New Roman" w:hAnsi="Arial" w:cs="Arial"/>
                <w:sz w:val="18"/>
                <w:szCs w:val="18"/>
                <w:lang w:val="mk-MK"/>
              </w:rPr>
            </w:pPr>
          </w:p>
          <w:p w14:paraId="2A3D6584" w14:textId="77777777" w:rsidR="00FF43DA" w:rsidRPr="00223692" w:rsidRDefault="00FF43DA" w:rsidP="00660C61">
            <w:pPr>
              <w:spacing w:after="0" w:line="240" w:lineRule="auto"/>
              <w:rPr>
                <w:rFonts w:ascii="Arial" w:eastAsia="Times New Roman" w:hAnsi="Arial" w:cs="Arial"/>
                <w:sz w:val="18"/>
                <w:szCs w:val="18"/>
                <w:lang w:val="mk-MK"/>
              </w:rPr>
            </w:pPr>
          </w:p>
          <w:p w14:paraId="106C33A0" w14:textId="77777777" w:rsidR="00FF43DA" w:rsidRPr="00223692" w:rsidRDefault="00FF43DA" w:rsidP="00660C61">
            <w:pPr>
              <w:spacing w:after="0" w:line="240" w:lineRule="auto"/>
              <w:rPr>
                <w:rFonts w:ascii="Arial" w:eastAsia="Times New Roman" w:hAnsi="Arial" w:cs="Arial"/>
                <w:sz w:val="18"/>
                <w:szCs w:val="18"/>
                <w:lang w:val="mk-MK"/>
              </w:rPr>
            </w:pPr>
          </w:p>
          <w:p w14:paraId="22053D38" w14:textId="77777777" w:rsidR="00FF43DA" w:rsidRPr="00223692" w:rsidRDefault="00FF43DA" w:rsidP="00660C61">
            <w:pPr>
              <w:spacing w:after="0" w:line="240" w:lineRule="auto"/>
              <w:rPr>
                <w:rFonts w:ascii="Arial" w:eastAsia="Times New Roman" w:hAnsi="Arial" w:cs="Arial"/>
                <w:sz w:val="18"/>
                <w:szCs w:val="18"/>
                <w:lang w:val="mk-MK"/>
              </w:rPr>
            </w:pPr>
          </w:p>
          <w:p w14:paraId="3E0A5ABF" w14:textId="77777777" w:rsidR="00FF43DA" w:rsidRPr="00223692" w:rsidRDefault="00FF43DA" w:rsidP="00660C61">
            <w:pPr>
              <w:spacing w:after="0" w:line="240" w:lineRule="auto"/>
              <w:rPr>
                <w:rFonts w:ascii="Arial" w:eastAsia="Times New Roman" w:hAnsi="Arial" w:cs="Arial"/>
                <w:sz w:val="18"/>
                <w:szCs w:val="18"/>
                <w:lang w:val="mk-MK"/>
              </w:rPr>
            </w:pPr>
          </w:p>
          <w:p w14:paraId="2E481D37" w14:textId="77777777" w:rsidR="00FF43DA" w:rsidRPr="00223692" w:rsidRDefault="00FF43DA" w:rsidP="00660C61">
            <w:pPr>
              <w:spacing w:after="0" w:line="240" w:lineRule="auto"/>
              <w:rPr>
                <w:rFonts w:ascii="Arial" w:eastAsia="Times New Roman" w:hAnsi="Arial" w:cs="Arial"/>
                <w:sz w:val="18"/>
                <w:szCs w:val="18"/>
                <w:lang w:val="mk-MK"/>
              </w:rPr>
            </w:pPr>
          </w:p>
          <w:p w14:paraId="1F9599EE" w14:textId="77777777" w:rsidR="00FF43DA" w:rsidRPr="00223692" w:rsidRDefault="00FF43DA" w:rsidP="00660C61">
            <w:pPr>
              <w:spacing w:after="0" w:line="240" w:lineRule="auto"/>
              <w:rPr>
                <w:sz w:val="10"/>
                <w:szCs w:val="10"/>
                <w:lang w:val="mk-MK"/>
              </w:rPr>
            </w:pPr>
            <w:r w:rsidRPr="00223692">
              <w:rPr>
                <w:rFonts w:ascii="Arial" w:eastAsia="Times New Roman" w:hAnsi="Arial" w:cs="Arial"/>
                <w:sz w:val="18"/>
                <w:szCs w:val="18"/>
                <w:lang w:val="mk-MK"/>
              </w:rPr>
              <w:t xml:space="preserve">Niveli joadekuat i </w:t>
            </w:r>
            <w:r w:rsidRPr="00223692">
              <w:rPr>
                <w:rFonts w:ascii="Arial" w:hAnsi="Arial" w:cs="Arial"/>
                <w:sz w:val="18"/>
                <w:szCs w:val="18"/>
                <w:lang w:val="mk-MK"/>
              </w:rPr>
              <w:t>integritetit personal dhe profesional të punonjësve dhe të emëruarve</w:t>
            </w:r>
          </w:p>
        </w:tc>
        <w:tc>
          <w:tcPr>
            <w:tcW w:w="2505" w:type="dxa"/>
            <w:tcBorders>
              <w:top w:val="single" w:sz="4" w:space="0" w:color="000000"/>
              <w:left w:val="single" w:sz="4" w:space="0" w:color="000000"/>
              <w:bottom w:val="single" w:sz="4" w:space="0" w:color="000000"/>
              <w:right w:val="single" w:sz="4" w:space="0" w:color="000000"/>
            </w:tcBorders>
          </w:tcPr>
          <w:p w14:paraId="493EF5DC" w14:textId="77777777" w:rsidR="00FF43DA" w:rsidRPr="00223692" w:rsidRDefault="00FF43DA" w:rsidP="00102198">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Promovimi i integritetit dhe etikës personale dhe profesionale të punonjësve dhe të emëruarve</w:t>
            </w:r>
          </w:p>
        </w:tc>
        <w:tc>
          <w:tcPr>
            <w:tcW w:w="1995" w:type="dxa"/>
            <w:tcBorders>
              <w:top w:val="single" w:sz="4" w:space="0" w:color="000000"/>
              <w:left w:val="single" w:sz="4" w:space="0" w:color="000000"/>
              <w:bottom w:val="single" w:sz="4" w:space="0" w:color="000000"/>
              <w:right w:val="single" w:sz="4" w:space="0" w:color="000000"/>
            </w:tcBorders>
          </w:tcPr>
          <w:p w14:paraId="0F6ACDD2" w14:textId="77777777" w:rsidR="00FF43DA" w:rsidRPr="00223692" w:rsidRDefault="00FF43DA" w:rsidP="00102198">
            <w:pPr>
              <w:spacing w:after="0" w:line="240" w:lineRule="auto"/>
              <w:jc w:val="center"/>
              <w:rPr>
                <w:rFonts w:ascii="Arial" w:hAnsi="Arial" w:cs="Arial"/>
                <w:sz w:val="18"/>
                <w:szCs w:val="18"/>
                <w:lang w:val="mk-MK"/>
              </w:rPr>
            </w:pPr>
            <w:r w:rsidRPr="00223692">
              <w:rPr>
                <w:rFonts w:ascii="Arial" w:hAnsi="Arial" w:cs="Arial"/>
                <w:sz w:val="18"/>
                <w:szCs w:val="18"/>
                <w:lang w:val="mk-MK"/>
              </w:rPr>
              <w:t>Vlerësime periodike të proceseve të punës për të identifikuar cenueshmërinë e tyre ndaj korrupsionit</w:t>
            </w:r>
          </w:p>
        </w:tc>
        <w:tc>
          <w:tcPr>
            <w:tcW w:w="3599" w:type="dxa"/>
            <w:tcBorders>
              <w:top w:val="single" w:sz="4" w:space="0" w:color="000000"/>
              <w:left w:val="single" w:sz="4" w:space="0" w:color="000000"/>
              <w:bottom w:val="single" w:sz="4" w:space="0" w:color="000000"/>
              <w:right w:val="single" w:sz="4" w:space="0" w:color="000000"/>
            </w:tcBorders>
          </w:tcPr>
          <w:p w14:paraId="0F669D0D"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6EA3B231" w14:textId="77777777" w:rsidR="00FF43DA" w:rsidRPr="00223692" w:rsidRDefault="00FF43DA"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Drejtuesit e njësive organizative/drejtori/</w:t>
            </w:r>
          </w:p>
          <w:p w14:paraId="18F80407" w14:textId="77777777" w:rsidR="00FF43DA" w:rsidRPr="00223692" w:rsidRDefault="00FF43DA"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anëtarët e këshillit</w:t>
            </w:r>
          </w:p>
          <w:p w14:paraId="7DBF4EB1" w14:textId="77777777" w:rsidR="00FF43DA" w:rsidRPr="00223692" w:rsidRDefault="00FF43DA" w:rsidP="00660C61">
            <w:pPr>
              <w:spacing w:after="0" w:line="240" w:lineRule="auto"/>
              <w:jc w:val="center"/>
              <w:rPr>
                <w:rFonts w:ascii="Arial" w:eastAsia="Times New Roman" w:hAnsi="Arial" w:cs="Arial"/>
                <w:sz w:val="18"/>
                <w:szCs w:val="18"/>
                <w:lang w:val="mk-MK"/>
              </w:rPr>
            </w:pPr>
          </w:p>
        </w:tc>
        <w:tc>
          <w:tcPr>
            <w:tcW w:w="1440" w:type="dxa"/>
            <w:tcBorders>
              <w:top w:val="single" w:sz="4" w:space="0" w:color="000000"/>
              <w:left w:val="single" w:sz="4" w:space="0" w:color="000000"/>
              <w:bottom w:val="single" w:sz="4" w:space="0" w:color="000000"/>
              <w:right w:val="single" w:sz="4" w:space="0" w:color="000000"/>
            </w:tcBorders>
          </w:tcPr>
          <w:p w14:paraId="2F3AC773"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7D025706"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5DD16F9F" w14:textId="77777777" w:rsidR="00FF43DA" w:rsidRPr="00223692" w:rsidRDefault="00A01C4C"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në gjashtë muaj</w:t>
            </w:r>
          </w:p>
        </w:tc>
        <w:tc>
          <w:tcPr>
            <w:tcW w:w="1350" w:type="dxa"/>
            <w:tcBorders>
              <w:top w:val="single" w:sz="4" w:space="0" w:color="000000"/>
              <w:left w:val="single" w:sz="4" w:space="0" w:color="000000"/>
              <w:bottom w:val="single" w:sz="4" w:space="0" w:color="000000"/>
              <w:right w:val="single" w:sz="4" w:space="0" w:color="000000"/>
            </w:tcBorders>
          </w:tcPr>
          <w:p w14:paraId="46B41D13"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06CC347A"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6305E63D" w14:textId="77777777" w:rsidR="00FF43DA" w:rsidRPr="00223692" w:rsidRDefault="00A01C4C"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nuk ka</w:t>
            </w:r>
          </w:p>
        </w:tc>
        <w:tc>
          <w:tcPr>
            <w:tcW w:w="1350" w:type="dxa"/>
            <w:tcBorders>
              <w:top w:val="single" w:sz="4" w:space="0" w:color="000000"/>
              <w:left w:val="single" w:sz="4" w:space="0" w:color="000000"/>
              <w:bottom w:val="single" w:sz="4" w:space="0" w:color="000000"/>
              <w:right w:val="single" w:sz="4" w:space="0" w:color="000000"/>
            </w:tcBorders>
          </w:tcPr>
          <w:p w14:paraId="745E9BA8"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6C8672A4"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7CE8EC18" w14:textId="77777777" w:rsidR="00FF43DA" w:rsidRPr="00223692" w:rsidRDefault="00A01C4C"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të kontrolluara</w:t>
            </w:r>
          </w:p>
        </w:tc>
      </w:tr>
      <w:tr w:rsidR="00FF43DA" w:rsidRPr="00223692" w14:paraId="08806EDB" w14:textId="77777777" w:rsidTr="00660C61">
        <w:trPr>
          <w:trHeight w:val="405"/>
        </w:trPr>
        <w:tc>
          <w:tcPr>
            <w:tcW w:w="1786" w:type="dxa"/>
            <w:vMerge/>
          </w:tcPr>
          <w:p w14:paraId="0371B8A8" w14:textId="77777777" w:rsidR="00FF43DA" w:rsidRPr="00223692" w:rsidRDefault="00FF43DA" w:rsidP="00660C61">
            <w:pPr>
              <w:spacing w:after="0" w:line="240" w:lineRule="auto"/>
              <w:rPr>
                <w:sz w:val="10"/>
                <w:szCs w:val="10"/>
                <w:lang w:val="mk-MK"/>
              </w:rPr>
            </w:pPr>
          </w:p>
        </w:tc>
        <w:tc>
          <w:tcPr>
            <w:tcW w:w="2505" w:type="dxa"/>
          </w:tcPr>
          <w:p w14:paraId="3CC5CA6A" w14:textId="77777777" w:rsidR="00FF43DA" w:rsidRPr="00223692" w:rsidRDefault="00FF43DA" w:rsidP="00660C61">
            <w:pPr>
              <w:spacing w:after="0" w:line="240" w:lineRule="auto"/>
              <w:jc w:val="center"/>
              <w:rPr>
                <w:rFonts w:ascii="Arial" w:hAnsi="Arial" w:cs="Arial"/>
                <w:sz w:val="18"/>
                <w:szCs w:val="18"/>
                <w:lang w:val="mk-MK"/>
              </w:rPr>
            </w:pPr>
            <w:r w:rsidRPr="00223692">
              <w:rPr>
                <w:rFonts w:ascii="Arial" w:hAnsi="Arial" w:cs="Arial"/>
                <w:sz w:val="18"/>
                <w:szCs w:val="18"/>
                <w:lang w:val="mk-MK"/>
              </w:rPr>
              <w:t>Zhvillimi dhe zbatimi i politikave dhe praktikave të menaxhimit të burimeve njerëzore për zhvillimin dhe avancimin profesional të tyre</w:t>
            </w:r>
          </w:p>
        </w:tc>
        <w:tc>
          <w:tcPr>
            <w:tcW w:w="1995" w:type="dxa"/>
            <w:vMerge w:val="restart"/>
          </w:tcPr>
          <w:p w14:paraId="0AF325FE"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2D0540D0" w14:textId="77777777" w:rsidR="00FF43DA" w:rsidRPr="00223692" w:rsidRDefault="00FF43DA" w:rsidP="00A12835">
            <w:pPr>
              <w:spacing w:after="0" w:line="240" w:lineRule="auto"/>
              <w:rPr>
                <w:rFonts w:ascii="Arial" w:eastAsia="Times New Roman" w:hAnsi="Arial" w:cs="Arial"/>
                <w:sz w:val="18"/>
                <w:szCs w:val="18"/>
                <w:lang w:val="mk-MK"/>
              </w:rPr>
            </w:pPr>
          </w:p>
          <w:p w14:paraId="3D94469A"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7C655004" w14:textId="77777777" w:rsidR="00FF43DA" w:rsidRPr="00223692" w:rsidRDefault="00FF43DA"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Edukimi i punonjësve përmes trajnimeve të synuara, me theks të veçantë tek punonjësit e sapo punësuar</w:t>
            </w:r>
          </w:p>
          <w:p w14:paraId="55BBB3FF"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1CF511EF" w14:textId="77777777" w:rsidR="00FF43DA" w:rsidRPr="00223692" w:rsidRDefault="00FF43DA" w:rsidP="00660C61">
            <w:pPr>
              <w:spacing w:after="0" w:line="240" w:lineRule="auto"/>
              <w:rPr>
                <w:sz w:val="10"/>
                <w:szCs w:val="10"/>
                <w:lang w:val="mk-MK"/>
              </w:rPr>
            </w:pPr>
          </w:p>
        </w:tc>
        <w:tc>
          <w:tcPr>
            <w:tcW w:w="3599" w:type="dxa"/>
          </w:tcPr>
          <w:p w14:paraId="00BDBE91"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0A4471C2" w14:textId="77777777" w:rsidR="00FF43DA" w:rsidRPr="00223692" w:rsidRDefault="00FF43DA" w:rsidP="00660C61">
            <w:pPr>
              <w:spacing w:after="0" w:line="240" w:lineRule="auto"/>
              <w:jc w:val="center"/>
              <w:rPr>
                <w:sz w:val="10"/>
                <w:szCs w:val="10"/>
                <w:lang w:val="mk-MK"/>
              </w:rPr>
            </w:pPr>
            <w:r w:rsidRPr="00223692">
              <w:rPr>
                <w:rFonts w:ascii="Arial" w:eastAsia="Times New Roman" w:hAnsi="Arial" w:cs="Arial"/>
                <w:sz w:val="18"/>
                <w:szCs w:val="18"/>
                <w:lang w:val="mk-MK"/>
              </w:rPr>
              <w:t>Departamenti i Çështjeve Ligjore dhe Prokurimit Publik, duke përfshirë të gjitha njësitë organizative</w:t>
            </w:r>
          </w:p>
        </w:tc>
        <w:tc>
          <w:tcPr>
            <w:tcW w:w="1440" w:type="dxa"/>
            <w:tcBorders>
              <w:top w:val="single" w:sz="4" w:space="0" w:color="000000"/>
              <w:left w:val="single" w:sz="4" w:space="0" w:color="000000"/>
              <w:bottom w:val="single" w:sz="4" w:space="0" w:color="auto"/>
              <w:right w:val="single" w:sz="4" w:space="0" w:color="000000"/>
            </w:tcBorders>
          </w:tcPr>
          <w:p w14:paraId="7ECCD1FA"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12A05980" w14:textId="77777777" w:rsidR="00FF43DA" w:rsidRPr="00223692" w:rsidRDefault="00FF43DA" w:rsidP="00660C61">
            <w:pPr>
              <w:spacing w:after="0" w:line="240" w:lineRule="auto"/>
              <w:rPr>
                <w:rFonts w:ascii="Arial" w:eastAsia="Times New Roman" w:hAnsi="Arial" w:cs="Arial"/>
                <w:sz w:val="18"/>
                <w:szCs w:val="18"/>
                <w:lang w:val="mk-MK"/>
              </w:rPr>
            </w:pPr>
          </w:p>
          <w:p w14:paraId="2C962E23"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1874B5C1" w14:textId="77777777" w:rsidR="00FF43DA" w:rsidRPr="00223692" w:rsidRDefault="00A01C4C"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vazhdimisht</w:t>
            </w:r>
          </w:p>
        </w:tc>
        <w:tc>
          <w:tcPr>
            <w:tcW w:w="1350" w:type="dxa"/>
            <w:tcBorders>
              <w:top w:val="single" w:sz="4" w:space="0" w:color="000000"/>
              <w:left w:val="single" w:sz="4" w:space="0" w:color="000000"/>
              <w:bottom w:val="single" w:sz="4" w:space="0" w:color="auto"/>
              <w:right w:val="single" w:sz="4" w:space="0" w:color="000000"/>
            </w:tcBorders>
          </w:tcPr>
          <w:p w14:paraId="506D7A10"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12F0A68F" w14:textId="77777777" w:rsidR="00FF43DA" w:rsidRPr="00223692" w:rsidRDefault="00FF43DA" w:rsidP="00660C61">
            <w:pPr>
              <w:spacing w:after="0" w:line="240" w:lineRule="auto"/>
              <w:rPr>
                <w:rFonts w:ascii="Arial" w:eastAsia="Times New Roman" w:hAnsi="Arial" w:cs="Arial"/>
                <w:sz w:val="18"/>
                <w:szCs w:val="18"/>
                <w:lang w:val="mk-MK"/>
              </w:rPr>
            </w:pPr>
          </w:p>
          <w:p w14:paraId="35328142"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6D959B7D" w14:textId="77777777" w:rsidR="00FF43DA" w:rsidRPr="00223692" w:rsidRDefault="00A01C4C"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nuk ka</w:t>
            </w:r>
          </w:p>
        </w:tc>
        <w:tc>
          <w:tcPr>
            <w:tcW w:w="1350" w:type="dxa"/>
            <w:tcBorders>
              <w:top w:val="single" w:sz="4" w:space="0" w:color="000000"/>
              <w:left w:val="single" w:sz="4" w:space="0" w:color="000000"/>
              <w:bottom w:val="single" w:sz="4" w:space="0" w:color="auto"/>
              <w:right w:val="single" w:sz="4" w:space="0" w:color="000000"/>
            </w:tcBorders>
          </w:tcPr>
          <w:p w14:paraId="1F7AF470"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4B002110"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5F013B60"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4D4FC68A" w14:textId="77777777" w:rsidR="00FF43DA" w:rsidRPr="00223692" w:rsidRDefault="00A01C4C"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të kontrolluara</w:t>
            </w:r>
          </w:p>
        </w:tc>
      </w:tr>
      <w:tr w:rsidR="00FF43DA" w:rsidRPr="00223692" w14:paraId="6B8297B7" w14:textId="77777777" w:rsidTr="00BB7FA3">
        <w:trPr>
          <w:trHeight w:val="1358"/>
        </w:trPr>
        <w:tc>
          <w:tcPr>
            <w:tcW w:w="1786" w:type="dxa"/>
            <w:vMerge/>
          </w:tcPr>
          <w:p w14:paraId="42298F6A" w14:textId="77777777" w:rsidR="00FF43DA" w:rsidRPr="00223692" w:rsidRDefault="00FF43DA" w:rsidP="00660C61">
            <w:pPr>
              <w:spacing w:after="0" w:line="240" w:lineRule="auto"/>
              <w:rPr>
                <w:sz w:val="10"/>
                <w:szCs w:val="10"/>
                <w:lang w:val="mk-MK"/>
              </w:rPr>
            </w:pPr>
          </w:p>
        </w:tc>
        <w:tc>
          <w:tcPr>
            <w:tcW w:w="2505" w:type="dxa"/>
          </w:tcPr>
          <w:p w14:paraId="4F6FB6C4" w14:textId="77777777" w:rsidR="00FF43DA" w:rsidRPr="00223692" w:rsidRDefault="00FF43DA" w:rsidP="00BB7FA3">
            <w:pPr>
              <w:spacing w:after="0" w:line="240" w:lineRule="auto"/>
              <w:jc w:val="center"/>
              <w:rPr>
                <w:sz w:val="10"/>
                <w:szCs w:val="10"/>
                <w:lang w:val="mk-MK"/>
              </w:rPr>
            </w:pPr>
            <w:r w:rsidRPr="00223692">
              <w:rPr>
                <w:rFonts w:ascii="Arial" w:eastAsia="Times New Roman" w:hAnsi="Arial" w:cs="Arial"/>
                <w:sz w:val="18"/>
                <w:szCs w:val="18"/>
                <w:lang w:val="mk-MK"/>
              </w:rPr>
              <w:t>Angazhimi i menaxhmentit të lartë për të krijuar një kulturë organizative të profesionalizmit, ligjshmërisë dhe intolerancës ndaj korrupsionit</w:t>
            </w:r>
          </w:p>
        </w:tc>
        <w:tc>
          <w:tcPr>
            <w:tcW w:w="1995" w:type="dxa"/>
            <w:vMerge/>
          </w:tcPr>
          <w:p w14:paraId="0BC34E34" w14:textId="77777777" w:rsidR="00FF43DA" w:rsidRPr="00223692" w:rsidRDefault="00FF43DA" w:rsidP="00660C61">
            <w:pPr>
              <w:spacing w:after="0" w:line="240" w:lineRule="auto"/>
              <w:rPr>
                <w:sz w:val="10"/>
                <w:szCs w:val="10"/>
                <w:lang w:val="mk-MK"/>
              </w:rPr>
            </w:pPr>
          </w:p>
        </w:tc>
        <w:tc>
          <w:tcPr>
            <w:tcW w:w="3599" w:type="dxa"/>
            <w:tcBorders>
              <w:top w:val="single" w:sz="4" w:space="0" w:color="auto"/>
              <w:left w:val="single" w:sz="4" w:space="0" w:color="000000"/>
              <w:bottom w:val="single" w:sz="4" w:space="0" w:color="000000"/>
              <w:right w:val="single" w:sz="4" w:space="0" w:color="000000"/>
            </w:tcBorders>
          </w:tcPr>
          <w:p w14:paraId="5E9BE1ED"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1D37346A"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69E28EE3" w14:textId="77777777" w:rsidR="00FF43DA" w:rsidRPr="00223692" w:rsidRDefault="00FF43DA"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Drejtuesit e njësive organizative/drejtori/</w:t>
            </w:r>
          </w:p>
          <w:p w14:paraId="33908623" w14:textId="77777777" w:rsidR="00FF43DA" w:rsidRPr="00223692" w:rsidRDefault="00FF43DA"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anëtarët e këshillit</w:t>
            </w:r>
          </w:p>
        </w:tc>
        <w:tc>
          <w:tcPr>
            <w:tcW w:w="1440" w:type="dxa"/>
            <w:tcBorders>
              <w:top w:val="single" w:sz="4" w:space="0" w:color="auto"/>
              <w:left w:val="single" w:sz="4" w:space="0" w:color="000000"/>
              <w:bottom w:val="single" w:sz="4" w:space="0" w:color="000000"/>
              <w:right w:val="single" w:sz="4" w:space="0" w:color="000000"/>
            </w:tcBorders>
          </w:tcPr>
          <w:p w14:paraId="4A76C73A"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49C5E618" w14:textId="77777777" w:rsidR="00FF43DA" w:rsidRPr="00223692" w:rsidRDefault="00FF43DA" w:rsidP="00660C61">
            <w:pPr>
              <w:spacing w:after="0" w:line="240" w:lineRule="auto"/>
              <w:rPr>
                <w:rFonts w:ascii="Arial" w:eastAsia="Times New Roman" w:hAnsi="Arial" w:cs="Arial"/>
                <w:sz w:val="18"/>
                <w:szCs w:val="18"/>
                <w:lang w:val="mk-MK"/>
              </w:rPr>
            </w:pPr>
          </w:p>
          <w:p w14:paraId="48190162"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0256DE34" w14:textId="77777777" w:rsidR="00FF43DA" w:rsidRPr="00223692" w:rsidRDefault="00FF43DA" w:rsidP="00660C61">
            <w:pPr>
              <w:spacing w:after="0" w:line="240" w:lineRule="auto"/>
              <w:rPr>
                <w:rFonts w:ascii="Arial" w:eastAsia="Times New Roman" w:hAnsi="Arial" w:cs="Arial"/>
                <w:sz w:val="18"/>
                <w:szCs w:val="18"/>
                <w:lang w:val="mk-MK"/>
              </w:rPr>
            </w:pPr>
            <w:r w:rsidRPr="00223692">
              <w:rPr>
                <w:rFonts w:ascii="Arial" w:eastAsia="Times New Roman" w:hAnsi="Arial" w:cs="Arial"/>
                <w:sz w:val="18"/>
                <w:szCs w:val="18"/>
                <w:lang w:val="mk-MK"/>
              </w:rPr>
              <w:t>vazhdimisht</w:t>
            </w:r>
          </w:p>
        </w:tc>
        <w:tc>
          <w:tcPr>
            <w:tcW w:w="1350" w:type="dxa"/>
            <w:tcBorders>
              <w:top w:val="single" w:sz="4" w:space="0" w:color="auto"/>
              <w:left w:val="single" w:sz="4" w:space="0" w:color="000000"/>
              <w:bottom w:val="single" w:sz="4" w:space="0" w:color="000000"/>
              <w:right w:val="single" w:sz="4" w:space="0" w:color="000000"/>
            </w:tcBorders>
          </w:tcPr>
          <w:p w14:paraId="59971CF2"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153E68A1" w14:textId="77777777" w:rsidR="00FF43DA" w:rsidRPr="00223692" w:rsidRDefault="00FF43DA" w:rsidP="00660C61">
            <w:pPr>
              <w:spacing w:after="0" w:line="240" w:lineRule="auto"/>
              <w:rPr>
                <w:rFonts w:ascii="Arial" w:eastAsia="Times New Roman" w:hAnsi="Arial" w:cs="Arial"/>
                <w:sz w:val="18"/>
                <w:szCs w:val="18"/>
                <w:lang w:val="mk-MK"/>
              </w:rPr>
            </w:pPr>
          </w:p>
          <w:p w14:paraId="1640A482"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48F3D5A9" w14:textId="77777777" w:rsidR="00FF43DA" w:rsidRPr="00223692" w:rsidRDefault="00FF43DA" w:rsidP="00660C61">
            <w:pPr>
              <w:spacing w:after="0" w:line="240" w:lineRule="auto"/>
              <w:rPr>
                <w:rFonts w:ascii="Arial" w:eastAsia="Times New Roman" w:hAnsi="Arial" w:cs="Arial"/>
                <w:sz w:val="18"/>
                <w:szCs w:val="18"/>
                <w:lang w:val="mk-MK"/>
              </w:rPr>
            </w:pPr>
            <w:r w:rsidRPr="00223692">
              <w:rPr>
                <w:rFonts w:ascii="Arial" w:eastAsia="Times New Roman" w:hAnsi="Arial" w:cs="Arial"/>
                <w:sz w:val="18"/>
                <w:szCs w:val="18"/>
                <w:lang w:val="mk-MK"/>
              </w:rPr>
              <w:t>nuk ka</w:t>
            </w:r>
          </w:p>
        </w:tc>
        <w:tc>
          <w:tcPr>
            <w:tcW w:w="1350" w:type="dxa"/>
            <w:tcBorders>
              <w:top w:val="single" w:sz="4" w:space="0" w:color="auto"/>
              <w:left w:val="single" w:sz="4" w:space="0" w:color="000000"/>
              <w:bottom w:val="single" w:sz="4" w:space="0" w:color="000000"/>
              <w:right w:val="single" w:sz="4" w:space="0" w:color="000000"/>
            </w:tcBorders>
          </w:tcPr>
          <w:p w14:paraId="4D588458"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57D9F68A" w14:textId="77777777" w:rsidR="00FF43DA" w:rsidRPr="00223692" w:rsidRDefault="00FF43DA" w:rsidP="00660C61">
            <w:pPr>
              <w:spacing w:after="0" w:line="240" w:lineRule="auto"/>
              <w:jc w:val="center"/>
              <w:rPr>
                <w:rFonts w:ascii="Arial" w:eastAsia="Times New Roman" w:hAnsi="Arial" w:cs="Arial"/>
                <w:sz w:val="18"/>
                <w:szCs w:val="18"/>
                <w:lang w:val="mk-MK"/>
              </w:rPr>
            </w:pPr>
          </w:p>
          <w:p w14:paraId="5FD3EC6A" w14:textId="77777777" w:rsidR="00A01C4C" w:rsidRDefault="00A01C4C" w:rsidP="00660C61">
            <w:pPr>
              <w:spacing w:after="0" w:line="240" w:lineRule="auto"/>
              <w:rPr>
                <w:rFonts w:ascii="Arial" w:eastAsia="Times New Roman" w:hAnsi="Arial" w:cs="Arial"/>
                <w:sz w:val="18"/>
                <w:szCs w:val="18"/>
                <w:lang w:val="mk-MK"/>
              </w:rPr>
            </w:pPr>
          </w:p>
          <w:p w14:paraId="60218801" w14:textId="77777777" w:rsidR="00FF43DA" w:rsidRDefault="00A01C4C" w:rsidP="00660C61">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të kontrolluara</w:t>
            </w:r>
          </w:p>
          <w:p w14:paraId="016B84FB" w14:textId="77777777" w:rsidR="00A01C4C" w:rsidRDefault="00A01C4C" w:rsidP="00660C61">
            <w:pPr>
              <w:spacing w:after="0" w:line="240" w:lineRule="auto"/>
              <w:rPr>
                <w:rFonts w:ascii="Arial" w:eastAsia="Times New Roman" w:hAnsi="Arial" w:cs="Arial"/>
                <w:sz w:val="18"/>
                <w:szCs w:val="18"/>
                <w:lang w:val="mk-MK"/>
              </w:rPr>
            </w:pPr>
          </w:p>
          <w:p w14:paraId="14D932E7" w14:textId="77777777" w:rsidR="00A01C4C" w:rsidRPr="00223692" w:rsidRDefault="00A01C4C" w:rsidP="00660C61">
            <w:pPr>
              <w:spacing w:after="0" w:line="240" w:lineRule="auto"/>
              <w:rPr>
                <w:rFonts w:ascii="Arial" w:eastAsia="Times New Roman" w:hAnsi="Arial" w:cs="Arial"/>
                <w:sz w:val="18"/>
                <w:szCs w:val="18"/>
                <w:lang w:val="mk-MK"/>
              </w:rPr>
            </w:pPr>
          </w:p>
        </w:tc>
      </w:tr>
      <w:tr w:rsidR="00FF43DA" w:rsidRPr="00223692" w14:paraId="4A4FF185" w14:textId="77777777" w:rsidTr="000C345B">
        <w:trPr>
          <w:trHeight w:val="1358"/>
        </w:trPr>
        <w:tc>
          <w:tcPr>
            <w:tcW w:w="1786" w:type="dxa"/>
            <w:vMerge/>
          </w:tcPr>
          <w:p w14:paraId="0C033DFC" w14:textId="77777777" w:rsidR="00FF43DA" w:rsidRPr="00223692" w:rsidRDefault="00FF43DA" w:rsidP="009E3A32">
            <w:pPr>
              <w:spacing w:after="0" w:line="240" w:lineRule="auto"/>
              <w:rPr>
                <w:sz w:val="10"/>
                <w:szCs w:val="10"/>
                <w:lang w:val="mk-MK"/>
              </w:rPr>
            </w:pPr>
          </w:p>
        </w:tc>
        <w:tc>
          <w:tcPr>
            <w:tcW w:w="2505" w:type="dxa"/>
          </w:tcPr>
          <w:p w14:paraId="736D9707" w14:textId="77777777" w:rsidR="00FF43DA" w:rsidRDefault="00FF43DA" w:rsidP="009E3A32">
            <w:pPr>
              <w:spacing w:after="0" w:line="240" w:lineRule="auto"/>
              <w:jc w:val="center"/>
              <w:rPr>
                <w:rFonts w:ascii="Arial" w:hAnsi="Arial" w:cs="Arial"/>
                <w:sz w:val="18"/>
                <w:szCs w:val="18"/>
                <w:lang w:val="mk-MK"/>
              </w:rPr>
            </w:pPr>
          </w:p>
          <w:p w14:paraId="4E47E75F" w14:textId="77777777" w:rsidR="00FF43DA" w:rsidRDefault="00FF43DA" w:rsidP="009E3A32">
            <w:pPr>
              <w:spacing w:after="0" w:line="240" w:lineRule="auto"/>
              <w:jc w:val="center"/>
              <w:rPr>
                <w:rFonts w:ascii="Arial" w:hAnsi="Arial" w:cs="Arial"/>
                <w:sz w:val="18"/>
                <w:szCs w:val="18"/>
                <w:lang w:val="mk-MK"/>
              </w:rPr>
            </w:pPr>
          </w:p>
          <w:p w14:paraId="3783FCDB" w14:textId="77777777" w:rsidR="00FF43DA" w:rsidRPr="00223692" w:rsidRDefault="00FF43DA" w:rsidP="009E3A32">
            <w:pPr>
              <w:spacing w:after="0" w:line="240" w:lineRule="auto"/>
              <w:jc w:val="center"/>
              <w:rPr>
                <w:rFonts w:ascii="Arial" w:eastAsia="Times New Roman" w:hAnsi="Arial" w:cs="Arial"/>
                <w:sz w:val="18"/>
                <w:szCs w:val="18"/>
                <w:lang w:val="mk-MK"/>
              </w:rPr>
            </w:pPr>
            <w:r w:rsidRPr="008837E0">
              <w:rPr>
                <w:rFonts w:ascii="Arial" w:hAnsi="Arial" w:cs="Arial"/>
                <w:sz w:val="18"/>
                <w:szCs w:val="18"/>
                <w:lang w:val="mk-MK"/>
              </w:rPr>
              <w:t>Njohja e punonjësve me elementët e sistemit të integritetit</w:t>
            </w:r>
          </w:p>
        </w:tc>
        <w:tc>
          <w:tcPr>
            <w:tcW w:w="1995" w:type="dxa"/>
          </w:tcPr>
          <w:p w14:paraId="0D12A1D4" w14:textId="77777777" w:rsidR="00FF43DA" w:rsidRDefault="00FF43DA" w:rsidP="009E3A32">
            <w:pPr>
              <w:spacing w:after="0" w:line="240" w:lineRule="auto"/>
              <w:jc w:val="center"/>
              <w:rPr>
                <w:rFonts w:ascii="Arial" w:hAnsi="Arial" w:cs="Arial"/>
                <w:sz w:val="18"/>
                <w:szCs w:val="18"/>
                <w:lang w:val="mk-MK"/>
              </w:rPr>
            </w:pPr>
            <w:r w:rsidRPr="008837E0">
              <w:rPr>
                <w:rFonts w:ascii="Arial" w:hAnsi="Arial" w:cs="Arial"/>
                <w:sz w:val="18"/>
                <w:szCs w:val="18"/>
                <w:lang w:val="mk-MK"/>
              </w:rPr>
              <w:t>Informimi periodik i punonjësve duke shpërndarë materiale që lidhen me elementët e sistemit të integritetit</w:t>
            </w:r>
          </w:p>
          <w:p w14:paraId="5D883320" w14:textId="77777777" w:rsidR="00977EEE" w:rsidRPr="00045669" w:rsidRDefault="00977EEE" w:rsidP="009E3A32">
            <w:pPr>
              <w:spacing w:after="0" w:line="240" w:lineRule="auto"/>
              <w:jc w:val="center"/>
              <w:rPr>
                <w:sz w:val="10"/>
                <w:szCs w:val="10"/>
              </w:rPr>
            </w:pPr>
          </w:p>
        </w:tc>
        <w:tc>
          <w:tcPr>
            <w:tcW w:w="3599" w:type="dxa"/>
          </w:tcPr>
          <w:p w14:paraId="4D1E3D19" w14:textId="77777777" w:rsidR="00FF43DA" w:rsidRPr="008A64AE" w:rsidRDefault="00FF43DA" w:rsidP="009E3A32">
            <w:pPr>
              <w:jc w:val="center"/>
              <w:rPr>
                <w:rFonts w:ascii="Arial" w:eastAsia="Calibri" w:hAnsi="Arial" w:cs="Arial"/>
                <w:color w:val="FF0000"/>
                <w:sz w:val="18"/>
                <w:szCs w:val="18"/>
                <w:lang w:val="mk-MK"/>
              </w:rPr>
            </w:pPr>
          </w:p>
          <w:p w14:paraId="1C1AC632" w14:textId="77777777" w:rsidR="00FF43DA" w:rsidRDefault="00FF43DA" w:rsidP="009E3A32">
            <w:pPr>
              <w:jc w:val="center"/>
              <w:rPr>
                <w:rFonts w:ascii="Arial" w:eastAsia="Calibri" w:hAnsi="Arial" w:cs="Arial"/>
                <w:color w:val="FF0000"/>
                <w:sz w:val="18"/>
                <w:szCs w:val="18"/>
                <w:lang w:val="mk-MK"/>
              </w:rPr>
            </w:pPr>
          </w:p>
          <w:p w14:paraId="4A322509" w14:textId="77777777" w:rsidR="00FF43DA" w:rsidRDefault="00FF43DA" w:rsidP="009E3A32">
            <w:pPr>
              <w:spacing w:after="0" w:line="240" w:lineRule="auto"/>
              <w:jc w:val="center"/>
              <w:rPr>
                <w:rFonts w:ascii="Arial" w:eastAsia="Calibri" w:hAnsi="Arial" w:cs="Arial"/>
                <w:sz w:val="18"/>
                <w:szCs w:val="18"/>
                <w:lang w:val="mk-MK"/>
              </w:rPr>
            </w:pPr>
            <w:r w:rsidRPr="006F37B3">
              <w:rPr>
                <w:rFonts w:ascii="Arial" w:eastAsia="Calibri" w:hAnsi="Arial" w:cs="Arial"/>
                <w:sz w:val="18"/>
                <w:szCs w:val="18"/>
                <w:lang w:val="mk-MK"/>
              </w:rPr>
              <w:t>Personat e Integritetit</w:t>
            </w:r>
          </w:p>
          <w:p w14:paraId="00C39EF1" w14:textId="77777777" w:rsidR="00FF43DA" w:rsidRPr="00223692" w:rsidRDefault="00FF43DA" w:rsidP="009E3A32">
            <w:pPr>
              <w:spacing w:after="0" w:line="240" w:lineRule="auto"/>
              <w:rPr>
                <w:rFonts w:ascii="Arial" w:eastAsia="Times New Roman" w:hAnsi="Arial" w:cs="Arial"/>
                <w:sz w:val="18"/>
                <w:szCs w:val="18"/>
                <w:lang w:val="mk-MK"/>
              </w:rPr>
            </w:pPr>
          </w:p>
        </w:tc>
        <w:tc>
          <w:tcPr>
            <w:tcW w:w="1440" w:type="dxa"/>
          </w:tcPr>
          <w:p w14:paraId="6BB540C4" w14:textId="77777777" w:rsidR="00FF43DA" w:rsidRPr="006F37B3" w:rsidRDefault="00FF43DA" w:rsidP="009E3A32">
            <w:pPr>
              <w:jc w:val="center"/>
              <w:rPr>
                <w:rFonts w:ascii="Arial" w:eastAsia="Times New Roman" w:hAnsi="Arial" w:cs="Arial"/>
                <w:sz w:val="18"/>
                <w:szCs w:val="18"/>
                <w:lang w:val="mk-MK"/>
              </w:rPr>
            </w:pPr>
          </w:p>
          <w:p w14:paraId="23828868" w14:textId="77777777" w:rsidR="00102198" w:rsidRDefault="00102198" w:rsidP="009E3A32">
            <w:pPr>
              <w:spacing w:after="0" w:line="240" w:lineRule="auto"/>
              <w:jc w:val="center"/>
              <w:rPr>
                <w:rFonts w:ascii="Arial" w:eastAsia="Times New Roman" w:hAnsi="Arial" w:cs="Arial"/>
                <w:sz w:val="18"/>
                <w:szCs w:val="18"/>
                <w:lang w:val="mk-MK"/>
              </w:rPr>
            </w:pPr>
          </w:p>
          <w:p w14:paraId="61B7BDB1" w14:textId="1C38BF8D" w:rsidR="00FF43DA" w:rsidRPr="00223692" w:rsidRDefault="00977EEE" w:rsidP="00102198">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vazhdimisht</w:t>
            </w:r>
          </w:p>
        </w:tc>
        <w:tc>
          <w:tcPr>
            <w:tcW w:w="1350" w:type="dxa"/>
          </w:tcPr>
          <w:p w14:paraId="60F52D2E" w14:textId="77777777" w:rsidR="00FF43DA" w:rsidRPr="006F37B3" w:rsidRDefault="00FF43DA" w:rsidP="009E3A32">
            <w:pPr>
              <w:jc w:val="center"/>
              <w:rPr>
                <w:rFonts w:ascii="Arial" w:hAnsi="Arial" w:cs="Arial"/>
                <w:sz w:val="18"/>
                <w:szCs w:val="18"/>
                <w:lang w:val="mk-MK"/>
              </w:rPr>
            </w:pPr>
          </w:p>
          <w:p w14:paraId="38D31D8C" w14:textId="77777777" w:rsidR="00102198" w:rsidRDefault="00102198" w:rsidP="009E3A32">
            <w:pPr>
              <w:spacing w:after="0" w:line="240" w:lineRule="auto"/>
              <w:jc w:val="center"/>
              <w:rPr>
                <w:rFonts w:ascii="Arial" w:hAnsi="Arial" w:cs="Arial"/>
                <w:sz w:val="18"/>
                <w:szCs w:val="18"/>
                <w:lang w:val="mk-MK"/>
              </w:rPr>
            </w:pPr>
          </w:p>
          <w:p w14:paraId="1621438D" w14:textId="77777777" w:rsidR="00102198" w:rsidRDefault="00102198" w:rsidP="009E3A32">
            <w:pPr>
              <w:spacing w:after="0" w:line="240" w:lineRule="auto"/>
              <w:jc w:val="center"/>
              <w:rPr>
                <w:rFonts w:ascii="Arial" w:hAnsi="Arial" w:cs="Arial"/>
                <w:sz w:val="18"/>
                <w:szCs w:val="18"/>
                <w:lang w:val="mk-MK"/>
              </w:rPr>
            </w:pPr>
          </w:p>
          <w:p w14:paraId="15293AD6" w14:textId="77777777" w:rsidR="00FF43DA" w:rsidRPr="00223692" w:rsidRDefault="00A01C4C" w:rsidP="009E3A32">
            <w:pPr>
              <w:spacing w:after="0" w:line="240" w:lineRule="auto"/>
              <w:jc w:val="center"/>
              <w:rPr>
                <w:rFonts w:ascii="Arial" w:eastAsia="Times New Roman" w:hAnsi="Arial" w:cs="Arial"/>
                <w:sz w:val="18"/>
                <w:szCs w:val="18"/>
                <w:lang w:val="mk-MK"/>
              </w:rPr>
            </w:pPr>
            <w:r>
              <w:rPr>
                <w:rFonts w:ascii="Arial" w:hAnsi="Arial" w:cs="Arial"/>
                <w:sz w:val="18"/>
                <w:szCs w:val="18"/>
                <w:lang w:val="mk-MK"/>
              </w:rPr>
              <w:t>nuk ka</w:t>
            </w:r>
          </w:p>
        </w:tc>
        <w:tc>
          <w:tcPr>
            <w:tcW w:w="1350" w:type="dxa"/>
          </w:tcPr>
          <w:p w14:paraId="69C2E993" w14:textId="77777777" w:rsidR="00FF43DA" w:rsidRPr="006F37B3" w:rsidRDefault="00FF43DA" w:rsidP="009E3A32">
            <w:pPr>
              <w:jc w:val="center"/>
              <w:rPr>
                <w:rFonts w:ascii="Arial" w:hAnsi="Arial" w:cs="Arial"/>
                <w:sz w:val="18"/>
                <w:szCs w:val="18"/>
                <w:lang w:val="mk-MK"/>
              </w:rPr>
            </w:pPr>
          </w:p>
          <w:p w14:paraId="75879154" w14:textId="77777777" w:rsidR="00FF43DA" w:rsidRPr="006F37B3" w:rsidRDefault="00FF43DA" w:rsidP="009E3A32">
            <w:pPr>
              <w:jc w:val="center"/>
              <w:rPr>
                <w:rFonts w:ascii="Arial" w:hAnsi="Arial" w:cs="Arial"/>
                <w:sz w:val="18"/>
                <w:szCs w:val="18"/>
                <w:lang w:val="mk-MK"/>
              </w:rPr>
            </w:pPr>
          </w:p>
          <w:p w14:paraId="6CDF370D" w14:textId="77777777" w:rsidR="00FF43DA" w:rsidRPr="00223692" w:rsidRDefault="00A01C4C" w:rsidP="00102198">
            <w:pPr>
              <w:spacing w:after="0" w:line="240" w:lineRule="auto"/>
              <w:rPr>
                <w:rFonts w:ascii="Arial" w:eastAsia="Times New Roman" w:hAnsi="Arial" w:cs="Arial"/>
                <w:sz w:val="18"/>
                <w:szCs w:val="18"/>
                <w:lang w:val="mk-MK"/>
              </w:rPr>
            </w:pPr>
            <w:r>
              <w:rPr>
                <w:rFonts w:ascii="Arial" w:hAnsi="Arial" w:cs="Arial"/>
                <w:sz w:val="18"/>
                <w:szCs w:val="18"/>
                <w:lang w:val="mk-MK"/>
              </w:rPr>
              <w:t>të kontrolluara</w:t>
            </w:r>
          </w:p>
        </w:tc>
      </w:tr>
      <w:tr w:rsidR="00223692" w:rsidRPr="00223692" w14:paraId="50195BB8" w14:textId="77777777" w:rsidTr="00660C61">
        <w:trPr>
          <w:trHeight w:val="624"/>
        </w:trPr>
        <w:tc>
          <w:tcPr>
            <w:tcW w:w="1786" w:type="dxa"/>
            <w:vMerge w:val="restart"/>
            <w:tcBorders>
              <w:top w:val="single" w:sz="4" w:space="0" w:color="000000"/>
              <w:left w:val="single" w:sz="4" w:space="0" w:color="000000"/>
              <w:right w:val="single" w:sz="4" w:space="0" w:color="000000"/>
            </w:tcBorders>
          </w:tcPr>
          <w:p w14:paraId="77F168A2" w14:textId="77777777" w:rsidR="00B20959" w:rsidRPr="00223692" w:rsidRDefault="00B20959" w:rsidP="00660C61">
            <w:pPr>
              <w:spacing w:after="0" w:line="240" w:lineRule="auto"/>
              <w:jc w:val="center"/>
              <w:rPr>
                <w:rFonts w:ascii="Arial" w:hAnsi="Arial" w:cs="Arial"/>
                <w:sz w:val="18"/>
                <w:szCs w:val="18"/>
                <w:lang w:val="mk-MK"/>
              </w:rPr>
            </w:pPr>
          </w:p>
          <w:p w14:paraId="03480F95" w14:textId="77777777" w:rsidR="00B20959" w:rsidRPr="00223692" w:rsidRDefault="00B20959" w:rsidP="00660C61">
            <w:pPr>
              <w:spacing w:after="0" w:line="240" w:lineRule="auto"/>
              <w:jc w:val="center"/>
              <w:rPr>
                <w:rFonts w:ascii="Arial" w:hAnsi="Arial" w:cs="Arial"/>
                <w:sz w:val="18"/>
                <w:szCs w:val="18"/>
                <w:lang w:val="mk-MK"/>
              </w:rPr>
            </w:pPr>
            <w:r w:rsidRPr="00223692">
              <w:rPr>
                <w:rFonts w:ascii="Arial" w:hAnsi="Arial" w:cs="Arial"/>
                <w:sz w:val="18"/>
                <w:szCs w:val="18"/>
                <w:lang w:val="mk-MK"/>
              </w:rPr>
              <w:t xml:space="preserve">Sjellja e punonjësve në kundërshtim me </w:t>
            </w:r>
            <w:r w:rsidRPr="00223692">
              <w:rPr>
                <w:rFonts w:ascii="Arial" w:eastAsia="Times New Roman" w:hAnsi="Arial" w:cs="Arial"/>
                <w:sz w:val="18"/>
                <w:szCs w:val="18"/>
                <w:lang w:val="mk-MK"/>
              </w:rPr>
              <w:t>Kodin e Sjelljes dhe Udhëzimet e Agjencisë për trajtimin e dhuratave, favoreve dhe mikpritjes</w:t>
            </w:r>
          </w:p>
        </w:tc>
        <w:tc>
          <w:tcPr>
            <w:tcW w:w="2505" w:type="dxa"/>
            <w:vMerge w:val="restart"/>
            <w:tcBorders>
              <w:top w:val="single" w:sz="4" w:space="0" w:color="000000"/>
              <w:left w:val="single" w:sz="4" w:space="0" w:color="000000"/>
              <w:right w:val="single" w:sz="4" w:space="0" w:color="000000"/>
            </w:tcBorders>
          </w:tcPr>
          <w:p w14:paraId="7E8A7D00"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21EA59D9"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6859327" w14:textId="77777777" w:rsidR="00B20959" w:rsidRPr="00223692" w:rsidRDefault="00B20959" w:rsidP="00FF43DA">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Zbatimi praktik i Udhëzimeve të Agjencisë për trajtimin e dhuratave, përfitimeve dhe mikpritjes</w:t>
            </w:r>
          </w:p>
        </w:tc>
        <w:tc>
          <w:tcPr>
            <w:tcW w:w="1995" w:type="dxa"/>
            <w:tcBorders>
              <w:top w:val="single" w:sz="4" w:space="0" w:color="000000"/>
              <w:left w:val="single" w:sz="4" w:space="0" w:color="000000"/>
              <w:bottom w:val="single" w:sz="4" w:space="0" w:color="auto"/>
              <w:right w:val="single" w:sz="4" w:space="0" w:color="000000"/>
            </w:tcBorders>
          </w:tcPr>
          <w:p w14:paraId="389488F0" w14:textId="77777777" w:rsidR="00B20959"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Përmbushja e detyrimeve sipas Udhëzimeve</w:t>
            </w:r>
          </w:p>
          <w:p w14:paraId="3D6B1749" w14:textId="77777777" w:rsidR="00977EEE" w:rsidRPr="00223692" w:rsidRDefault="00977EEE" w:rsidP="00660C61">
            <w:pPr>
              <w:spacing w:after="0" w:line="240" w:lineRule="auto"/>
              <w:jc w:val="center"/>
              <w:rPr>
                <w:rFonts w:ascii="Arial" w:eastAsia="Times New Roman" w:hAnsi="Arial" w:cs="Arial"/>
                <w:sz w:val="18"/>
                <w:szCs w:val="18"/>
                <w:lang w:val="mk-MK"/>
              </w:rPr>
            </w:pPr>
          </w:p>
        </w:tc>
        <w:tc>
          <w:tcPr>
            <w:tcW w:w="3599" w:type="dxa"/>
            <w:tcBorders>
              <w:top w:val="single" w:sz="4" w:space="0" w:color="000000"/>
              <w:left w:val="single" w:sz="4" w:space="0" w:color="000000"/>
              <w:bottom w:val="single" w:sz="4" w:space="0" w:color="auto"/>
              <w:right w:val="single" w:sz="4" w:space="0" w:color="000000"/>
            </w:tcBorders>
          </w:tcPr>
          <w:p w14:paraId="5069165F"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të gjitha njësitë organizative/drejtori/</w:t>
            </w:r>
          </w:p>
          <w:p w14:paraId="6A8C25F5"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anëtarët e këshillit</w:t>
            </w:r>
          </w:p>
        </w:tc>
        <w:tc>
          <w:tcPr>
            <w:tcW w:w="1440" w:type="dxa"/>
            <w:tcBorders>
              <w:top w:val="single" w:sz="4" w:space="0" w:color="000000"/>
              <w:left w:val="single" w:sz="4" w:space="0" w:color="000000"/>
              <w:bottom w:val="single" w:sz="4" w:space="0" w:color="auto"/>
              <w:right w:val="single" w:sz="4" w:space="0" w:color="000000"/>
            </w:tcBorders>
          </w:tcPr>
          <w:p w14:paraId="1D9913FA"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14A02DD9" w14:textId="77777777" w:rsidR="00B20959" w:rsidRPr="00223692" w:rsidRDefault="00A01C4C"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vazhdimisht</w:t>
            </w:r>
          </w:p>
        </w:tc>
        <w:tc>
          <w:tcPr>
            <w:tcW w:w="1350" w:type="dxa"/>
            <w:tcBorders>
              <w:top w:val="single" w:sz="4" w:space="0" w:color="000000"/>
              <w:left w:val="single" w:sz="4" w:space="0" w:color="000000"/>
              <w:bottom w:val="single" w:sz="4" w:space="0" w:color="auto"/>
              <w:right w:val="single" w:sz="4" w:space="0" w:color="000000"/>
            </w:tcBorders>
          </w:tcPr>
          <w:p w14:paraId="600B9102"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6C6D5E4" w14:textId="77777777" w:rsidR="00B20959" w:rsidRPr="00223692" w:rsidRDefault="00A01C4C"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nuk ka</w:t>
            </w:r>
          </w:p>
        </w:tc>
        <w:tc>
          <w:tcPr>
            <w:tcW w:w="1350" w:type="dxa"/>
            <w:tcBorders>
              <w:top w:val="single" w:sz="4" w:space="0" w:color="000000"/>
              <w:left w:val="single" w:sz="4" w:space="0" w:color="000000"/>
              <w:bottom w:val="single" w:sz="4" w:space="0" w:color="auto"/>
              <w:right w:val="single" w:sz="4" w:space="0" w:color="000000"/>
            </w:tcBorders>
          </w:tcPr>
          <w:p w14:paraId="05084F58"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2AD88955" w14:textId="77777777" w:rsidR="00B20959" w:rsidRPr="00223692" w:rsidRDefault="00A01C4C"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të kontrolluara</w:t>
            </w:r>
          </w:p>
        </w:tc>
      </w:tr>
      <w:tr w:rsidR="00223692" w:rsidRPr="00223692" w14:paraId="32CBBD52" w14:textId="77777777" w:rsidTr="00660C61">
        <w:trPr>
          <w:trHeight w:val="765"/>
        </w:trPr>
        <w:tc>
          <w:tcPr>
            <w:tcW w:w="1786" w:type="dxa"/>
            <w:vMerge/>
            <w:tcBorders>
              <w:left w:val="single" w:sz="4" w:space="0" w:color="000000"/>
              <w:right w:val="single" w:sz="4" w:space="0" w:color="000000"/>
            </w:tcBorders>
          </w:tcPr>
          <w:p w14:paraId="77E07383" w14:textId="77777777" w:rsidR="00B20959" w:rsidRPr="00223692" w:rsidRDefault="00B20959" w:rsidP="00660C61">
            <w:pPr>
              <w:spacing w:after="0" w:line="240" w:lineRule="auto"/>
              <w:rPr>
                <w:rFonts w:ascii="Arial" w:hAnsi="Arial" w:cs="Arial"/>
                <w:sz w:val="18"/>
                <w:szCs w:val="18"/>
                <w:lang w:val="mk-MK"/>
              </w:rPr>
            </w:pPr>
          </w:p>
        </w:tc>
        <w:tc>
          <w:tcPr>
            <w:tcW w:w="2505" w:type="dxa"/>
            <w:vMerge/>
            <w:tcBorders>
              <w:left w:val="single" w:sz="4" w:space="0" w:color="000000"/>
              <w:right w:val="single" w:sz="4" w:space="0" w:color="000000"/>
            </w:tcBorders>
          </w:tcPr>
          <w:p w14:paraId="78BC6857" w14:textId="77777777" w:rsidR="00B20959" w:rsidRPr="00223692" w:rsidRDefault="00B20959" w:rsidP="00660C61">
            <w:pPr>
              <w:spacing w:after="0" w:line="240" w:lineRule="auto"/>
              <w:jc w:val="center"/>
              <w:rPr>
                <w:rFonts w:ascii="Arial" w:eastAsia="Times New Roman" w:hAnsi="Arial" w:cs="Arial"/>
                <w:sz w:val="18"/>
                <w:szCs w:val="18"/>
                <w:lang w:val="mk-MK"/>
              </w:rPr>
            </w:pPr>
          </w:p>
        </w:tc>
        <w:tc>
          <w:tcPr>
            <w:tcW w:w="1995" w:type="dxa"/>
            <w:tcBorders>
              <w:top w:val="single" w:sz="4" w:space="0" w:color="auto"/>
              <w:left w:val="single" w:sz="4" w:space="0" w:color="000000"/>
              <w:bottom w:val="single" w:sz="4" w:space="0" w:color="auto"/>
              <w:right w:val="single" w:sz="4" w:space="0" w:color="000000"/>
            </w:tcBorders>
          </w:tcPr>
          <w:p w14:paraId="6EFBC644"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Mbajtja e shënimeve të dhuratave të marra</w:t>
            </w:r>
          </w:p>
        </w:tc>
        <w:tc>
          <w:tcPr>
            <w:tcW w:w="3599" w:type="dxa"/>
            <w:vMerge w:val="restart"/>
            <w:tcBorders>
              <w:top w:val="single" w:sz="4" w:space="0" w:color="auto"/>
              <w:left w:val="single" w:sz="4" w:space="0" w:color="000000"/>
              <w:right w:val="single" w:sz="4" w:space="0" w:color="000000"/>
            </w:tcBorders>
          </w:tcPr>
          <w:p w14:paraId="4BF217DD" w14:textId="77777777" w:rsidR="00B20959" w:rsidRPr="00223692" w:rsidRDefault="00B20959" w:rsidP="00660C61">
            <w:pPr>
              <w:spacing w:after="0" w:line="240" w:lineRule="auto"/>
              <w:rPr>
                <w:rFonts w:ascii="Arial" w:hAnsi="Arial" w:cs="Arial"/>
                <w:sz w:val="18"/>
                <w:szCs w:val="18"/>
                <w:lang w:val="mk-MK"/>
              </w:rPr>
            </w:pPr>
          </w:p>
          <w:p w14:paraId="218A4830" w14:textId="77777777" w:rsidR="00B20959" w:rsidRPr="00223692" w:rsidRDefault="00B20959" w:rsidP="00A12835">
            <w:pPr>
              <w:spacing w:after="0" w:line="240" w:lineRule="auto"/>
              <w:rPr>
                <w:rFonts w:ascii="Arial" w:hAnsi="Arial" w:cs="Arial"/>
                <w:sz w:val="18"/>
                <w:szCs w:val="18"/>
                <w:lang w:val="mk-MK"/>
              </w:rPr>
            </w:pPr>
          </w:p>
          <w:p w14:paraId="5100172D"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hAnsi="Arial" w:cs="Arial"/>
                <w:sz w:val="18"/>
                <w:szCs w:val="18"/>
                <w:lang w:val="mk-MK"/>
              </w:rPr>
              <w:t>Sektori për mbështetjen e punës së Drejtorit dhe Këshillit të Agjencisë</w:t>
            </w:r>
          </w:p>
          <w:p w14:paraId="0B860CF7"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(person i autorizuar për dhurata për Agjencinë)</w:t>
            </w:r>
          </w:p>
        </w:tc>
        <w:tc>
          <w:tcPr>
            <w:tcW w:w="1440" w:type="dxa"/>
            <w:tcBorders>
              <w:top w:val="single" w:sz="4" w:space="0" w:color="auto"/>
              <w:left w:val="single" w:sz="4" w:space="0" w:color="000000"/>
              <w:bottom w:val="single" w:sz="4" w:space="0" w:color="auto"/>
              <w:right w:val="single" w:sz="4" w:space="0" w:color="000000"/>
            </w:tcBorders>
          </w:tcPr>
          <w:p w14:paraId="30AC1D9F" w14:textId="77777777" w:rsidR="00B20959" w:rsidRPr="00223692" w:rsidRDefault="00B20959" w:rsidP="00660C61">
            <w:pPr>
              <w:spacing w:after="0" w:line="240" w:lineRule="auto"/>
              <w:rPr>
                <w:rFonts w:ascii="Arial" w:eastAsia="Times New Roman" w:hAnsi="Arial" w:cs="Arial"/>
                <w:sz w:val="18"/>
                <w:szCs w:val="18"/>
                <w:lang w:val="mk-MK"/>
              </w:rPr>
            </w:pPr>
          </w:p>
          <w:p w14:paraId="55F937F3" w14:textId="77777777" w:rsidR="00B20959" w:rsidRPr="00223692" w:rsidRDefault="00B20959" w:rsidP="00660C61">
            <w:pPr>
              <w:spacing w:after="0" w:line="240" w:lineRule="auto"/>
              <w:rPr>
                <w:rFonts w:ascii="Arial" w:eastAsia="Times New Roman" w:hAnsi="Arial" w:cs="Arial"/>
                <w:sz w:val="18"/>
                <w:szCs w:val="18"/>
                <w:lang w:val="mk-MK"/>
              </w:rPr>
            </w:pPr>
            <w:r w:rsidRPr="00223692">
              <w:rPr>
                <w:rFonts w:ascii="Arial" w:eastAsia="Times New Roman" w:hAnsi="Arial" w:cs="Arial"/>
                <w:sz w:val="18"/>
                <w:szCs w:val="18"/>
                <w:lang w:val="mk-MK"/>
              </w:rPr>
              <w:t>vazhdimisht</w:t>
            </w:r>
          </w:p>
        </w:tc>
        <w:tc>
          <w:tcPr>
            <w:tcW w:w="1350" w:type="dxa"/>
            <w:vMerge w:val="restart"/>
            <w:tcBorders>
              <w:top w:val="single" w:sz="4" w:space="0" w:color="auto"/>
              <w:left w:val="single" w:sz="4" w:space="0" w:color="000000"/>
              <w:right w:val="single" w:sz="4" w:space="0" w:color="000000"/>
            </w:tcBorders>
          </w:tcPr>
          <w:p w14:paraId="54E4414A" w14:textId="77777777" w:rsidR="00B20959" w:rsidRPr="00223692" w:rsidRDefault="00B20959" w:rsidP="00660C61">
            <w:pPr>
              <w:spacing w:after="0" w:line="240" w:lineRule="auto"/>
              <w:rPr>
                <w:rFonts w:ascii="Arial" w:eastAsia="Times New Roman" w:hAnsi="Arial" w:cs="Arial"/>
                <w:sz w:val="18"/>
                <w:szCs w:val="18"/>
                <w:lang w:val="mk-MK"/>
              </w:rPr>
            </w:pPr>
            <w:r w:rsidRPr="00223692">
              <w:rPr>
                <w:rFonts w:ascii="Arial" w:eastAsia="Times New Roman" w:hAnsi="Arial" w:cs="Arial"/>
                <w:sz w:val="18"/>
                <w:szCs w:val="18"/>
                <w:lang w:val="mk-MK"/>
              </w:rPr>
              <w:t xml:space="preserve">      </w:t>
            </w:r>
          </w:p>
          <w:p w14:paraId="53A98FD2" w14:textId="77777777" w:rsidR="00B20959" w:rsidRPr="00223692" w:rsidRDefault="00B20959" w:rsidP="00660C61">
            <w:pPr>
              <w:spacing w:after="0" w:line="240" w:lineRule="auto"/>
              <w:rPr>
                <w:rFonts w:ascii="Arial" w:eastAsia="Times New Roman" w:hAnsi="Arial" w:cs="Arial"/>
                <w:sz w:val="18"/>
                <w:szCs w:val="18"/>
                <w:lang w:val="mk-MK"/>
              </w:rPr>
            </w:pPr>
          </w:p>
          <w:p w14:paraId="2AFF4042" w14:textId="77777777" w:rsidR="00B20959" w:rsidRPr="00223692" w:rsidRDefault="00B20959" w:rsidP="00660C61">
            <w:pPr>
              <w:spacing w:after="0" w:line="240" w:lineRule="auto"/>
              <w:rPr>
                <w:rFonts w:ascii="Arial" w:eastAsia="Times New Roman" w:hAnsi="Arial" w:cs="Arial"/>
                <w:sz w:val="18"/>
                <w:szCs w:val="18"/>
                <w:lang w:val="mk-MK"/>
              </w:rPr>
            </w:pPr>
            <w:r w:rsidRPr="00223692">
              <w:rPr>
                <w:rFonts w:ascii="Arial" w:eastAsia="Times New Roman" w:hAnsi="Arial" w:cs="Arial"/>
                <w:sz w:val="18"/>
                <w:szCs w:val="18"/>
                <w:lang w:val="mk-MK"/>
              </w:rPr>
              <w:t xml:space="preserve">      </w:t>
            </w:r>
          </w:p>
          <w:p w14:paraId="1D50FD12"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47094DE4" w14:textId="77777777" w:rsidR="00B20959" w:rsidRPr="00223692" w:rsidRDefault="004C0111"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nuk ka</w:t>
            </w:r>
          </w:p>
        </w:tc>
        <w:tc>
          <w:tcPr>
            <w:tcW w:w="1350" w:type="dxa"/>
            <w:vMerge w:val="restart"/>
            <w:tcBorders>
              <w:top w:val="single" w:sz="4" w:space="0" w:color="auto"/>
              <w:left w:val="single" w:sz="4" w:space="0" w:color="000000"/>
              <w:right w:val="single" w:sz="4" w:space="0" w:color="000000"/>
            </w:tcBorders>
          </w:tcPr>
          <w:p w14:paraId="4AFE0011" w14:textId="77777777" w:rsidR="00B20959" w:rsidRPr="00223692" w:rsidRDefault="00B20959" w:rsidP="00660C61">
            <w:pPr>
              <w:spacing w:after="0" w:line="240" w:lineRule="auto"/>
              <w:rPr>
                <w:rFonts w:ascii="Arial" w:eastAsia="Times New Roman" w:hAnsi="Arial" w:cs="Arial"/>
                <w:sz w:val="18"/>
                <w:szCs w:val="18"/>
                <w:lang w:val="mk-MK"/>
              </w:rPr>
            </w:pPr>
            <w:r w:rsidRPr="00223692">
              <w:rPr>
                <w:rFonts w:ascii="Arial" w:eastAsia="Times New Roman" w:hAnsi="Arial" w:cs="Arial"/>
                <w:sz w:val="18"/>
                <w:szCs w:val="18"/>
                <w:lang w:val="mk-MK"/>
              </w:rPr>
              <w:t xml:space="preserve">       </w:t>
            </w:r>
          </w:p>
          <w:p w14:paraId="0D5556A8" w14:textId="77777777" w:rsidR="00B20959" w:rsidRPr="00223692" w:rsidRDefault="00B20959" w:rsidP="00660C61">
            <w:pPr>
              <w:spacing w:after="0" w:line="240" w:lineRule="auto"/>
              <w:rPr>
                <w:rFonts w:ascii="Arial" w:eastAsia="Times New Roman" w:hAnsi="Arial" w:cs="Arial"/>
                <w:sz w:val="18"/>
                <w:szCs w:val="18"/>
                <w:lang w:val="mk-MK"/>
              </w:rPr>
            </w:pPr>
          </w:p>
          <w:p w14:paraId="1DEA33A4" w14:textId="77777777" w:rsidR="00B20959" w:rsidRPr="00223692" w:rsidRDefault="00B20959" w:rsidP="00660C61">
            <w:pPr>
              <w:spacing w:after="0" w:line="240" w:lineRule="auto"/>
              <w:rPr>
                <w:rFonts w:ascii="Arial" w:eastAsia="Times New Roman" w:hAnsi="Arial" w:cs="Arial"/>
                <w:sz w:val="18"/>
                <w:szCs w:val="18"/>
                <w:lang w:val="mk-MK"/>
              </w:rPr>
            </w:pPr>
            <w:r w:rsidRPr="00223692">
              <w:rPr>
                <w:rFonts w:ascii="Arial" w:eastAsia="Times New Roman" w:hAnsi="Arial" w:cs="Arial"/>
                <w:sz w:val="18"/>
                <w:szCs w:val="18"/>
                <w:lang w:val="mk-MK"/>
              </w:rPr>
              <w:t xml:space="preserve">      </w:t>
            </w:r>
          </w:p>
          <w:p w14:paraId="3CCBCE6E" w14:textId="77777777" w:rsidR="00C07D43" w:rsidRPr="00223692" w:rsidRDefault="00C07D43" w:rsidP="00660C61">
            <w:pPr>
              <w:spacing w:after="0" w:line="240" w:lineRule="auto"/>
              <w:jc w:val="center"/>
              <w:rPr>
                <w:rFonts w:ascii="Arial" w:eastAsia="Times New Roman" w:hAnsi="Arial" w:cs="Arial"/>
                <w:sz w:val="18"/>
                <w:szCs w:val="18"/>
                <w:lang w:val="mk-MK"/>
              </w:rPr>
            </w:pPr>
          </w:p>
          <w:p w14:paraId="71BB201C" w14:textId="77777777" w:rsidR="00B20959" w:rsidRPr="00223692" w:rsidRDefault="004C0111" w:rsidP="00CA37FC">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të kontrolluara</w:t>
            </w:r>
          </w:p>
        </w:tc>
      </w:tr>
      <w:tr w:rsidR="00223692" w:rsidRPr="00223692" w14:paraId="4F8F6A34" w14:textId="77777777" w:rsidTr="00660C61">
        <w:trPr>
          <w:trHeight w:val="737"/>
        </w:trPr>
        <w:tc>
          <w:tcPr>
            <w:tcW w:w="1786" w:type="dxa"/>
            <w:vMerge/>
            <w:tcBorders>
              <w:left w:val="single" w:sz="4" w:space="0" w:color="000000"/>
              <w:right w:val="single" w:sz="4" w:space="0" w:color="000000"/>
            </w:tcBorders>
          </w:tcPr>
          <w:p w14:paraId="4D2AC309" w14:textId="77777777" w:rsidR="00B20959" w:rsidRPr="00223692" w:rsidRDefault="00B20959" w:rsidP="00660C61">
            <w:pPr>
              <w:spacing w:after="0" w:line="240" w:lineRule="auto"/>
              <w:rPr>
                <w:rFonts w:ascii="Arial" w:hAnsi="Arial" w:cs="Arial"/>
                <w:sz w:val="18"/>
                <w:szCs w:val="18"/>
                <w:lang w:val="mk-MK"/>
              </w:rPr>
            </w:pPr>
          </w:p>
        </w:tc>
        <w:tc>
          <w:tcPr>
            <w:tcW w:w="2505" w:type="dxa"/>
            <w:vMerge/>
            <w:tcBorders>
              <w:left w:val="single" w:sz="4" w:space="0" w:color="000000"/>
              <w:right w:val="single" w:sz="4" w:space="0" w:color="000000"/>
            </w:tcBorders>
          </w:tcPr>
          <w:p w14:paraId="7C891EB6" w14:textId="77777777" w:rsidR="00B20959" w:rsidRPr="00223692" w:rsidRDefault="00B20959" w:rsidP="00660C61">
            <w:pPr>
              <w:spacing w:after="0" w:line="240" w:lineRule="auto"/>
              <w:jc w:val="center"/>
              <w:rPr>
                <w:rFonts w:ascii="Arial" w:eastAsia="Times New Roman" w:hAnsi="Arial" w:cs="Arial"/>
                <w:sz w:val="18"/>
                <w:szCs w:val="18"/>
                <w:lang w:val="mk-MK"/>
              </w:rPr>
            </w:pPr>
          </w:p>
        </w:tc>
        <w:tc>
          <w:tcPr>
            <w:tcW w:w="1995" w:type="dxa"/>
            <w:tcBorders>
              <w:top w:val="single" w:sz="4" w:space="0" w:color="auto"/>
              <w:left w:val="single" w:sz="4" w:space="0" w:color="000000"/>
              <w:bottom w:val="single" w:sz="4" w:space="0" w:color="auto"/>
              <w:right w:val="single" w:sz="4" w:space="0" w:color="000000"/>
            </w:tcBorders>
          </w:tcPr>
          <w:p w14:paraId="336C2248"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Kujdesi për marrjen, ruajtjen dhe mbajtjen e dhuratave</w:t>
            </w:r>
          </w:p>
        </w:tc>
        <w:tc>
          <w:tcPr>
            <w:tcW w:w="3599" w:type="dxa"/>
            <w:vMerge/>
            <w:tcBorders>
              <w:left w:val="single" w:sz="4" w:space="0" w:color="000000"/>
              <w:right w:val="single" w:sz="4" w:space="0" w:color="000000"/>
            </w:tcBorders>
          </w:tcPr>
          <w:p w14:paraId="566BE8DD" w14:textId="77777777" w:rsidR="00B20959" w:rsidRPr="00223692" w:rsidRDefault="00B20959" w:rsidP="00660C61">
            <w:pPr>
              <w:spacing w:after="0" w:line="240" w:lineRule="auto"/>
              <w:jc w:val="center"/>
              <w:rPr>
                <w:rFonts w:ascii="Arial" w:eastAsia="Times New Roman" w:hAnsi="Arial" w:cs="Arial"/>
                <w:sz w:val="18"/>
                <w:szCs w:val="18"/>
                <w:lang w:val="mk-MK"/>
              </w:rPr>
            </w:pPr>
          </w:p>
        </w:tc>
        <w:tc>
          <w:tcPr>
            <w:tcW w:w="1440" w:type="dxa"/>
            <w:tcBorders>
              <w:top w:val="single" w:sz="4" w:space="0" w:color="auto"/>
              <w:left w:val="single" w:sz="4" w:space="0" w:color="000000"/>
              <w:bottom w:val="single" w:sz="4" w:space="0" w:color="auto"/>
              <w:right w:val="single" w:sz="4" w:space="0" w:color="000000"/>
            </w:tcBorders>
          </w:tcPr>
          <w:p w14:paraId="04D155C8"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6DD497EB" w14:textId="77777777" w:rsidR="00B20959" w:rsidRPr="00223692" w:rsidRDefault="00EC6E30"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vazhdimisht</w:t>
            </w:r>
          </w:p>
        </w:tc>
        <w:tc>
          <w:tcPr>
            <w:tcW w:w="1350" w:type="dxa"/>
            <w:vMerge/>
            <w:tcBorders>
              <w:left w:val="single" w:sz="4" w:space="0" w:color="000000"/>
              <w:right w:val="single" w:sz="4" w:space="0" w:color="000000"/>
            </w:tcBorders>
          </w:tcPr>
          <w:p w14:paraId="0FD51067" w14:textId="77777777" w:rsidR="00B20959" w:rsidRPr="00223692" w:rsidRDefault="00B20959" w:rsidP="00660C61">
            <w:pPr>
              <w:spacing w:after="0" w:line="240" w:lineRule="auto"/>
              <w:jc w:val="center"/>
              <w:rPr>
                <w:rFonts w:ascii="Arial" w:eastAsia="Times New Roman" w:hAnsi="Arial" w:cs="Arial"/>
                <w:sz w:val="18"/>
                <w:szCs w:val="18"/>
                <w:lang w:val="mk-MK"/>
              </w:rPr>
            </w:pPr>
          </w:p>
        </w:tc>
        <w:tc>
          <w:tcPr>
            <w:tcW w:w="1350" w:type="dxa"/>
            <w:vMerge/>
            <w:tcBorders>
              <w:left w:val="single" w:sz="4" w:space="0" w:color="000000"/>
              <w:right w:val="single" w:sz="4" w:space="0" w:color="000000"/>
            </w:tcBorders>
          </w:tcPr>
          <w:p w14:paraId="7BE306F9" w14:textId="77777777" w:rsidR="00B20959" w:rsidRPr="00223692" w:rsidRDefault="00B20959" w:rsidP="00660C61">
            <w:pPr>
              <w:spacing w:after="0" w:line="240" w:lineRule="auto"/>
              <w:jc w:val="center"/>
              <w:rPr>
                <w:rFonts w:ascii="Arial" w:eastAsia="Times New Roman" w:hAnsi="Arial" w:cs="Arial"/>
                <w:sz w:val="18"/>
                <w:szCs w:val="18"/>
                <w:lang w:val="mk-MK"/>
              </w:rPr>
            </w:pPr>
          </w:p>
        </w:tc>
      </w:tr>
      <w:tr w:rsidR="00223692" w:rsidRPr="00223692" w14:paraId="072185FD" w14:textId="77777777" w:rsidTr="00660C61">
        <w:trPr>
          <w:trHeight w:val="845"/>
        </w:trPr>
        <w:tc>
          <w:tcPr>
            <w:tcW w:w="1786" w:type="dxa"/>
            <w:vMerge/>
            <w:tcBorders>
              <w:left w:val="single" w:sz="4" w:space="0" w:color="000000"/>
              <w:right w:val="single" w:sz="4" w:space="0" w:color="000000"/>
            </w:tcBorders>
          </w:tcPr>
          <w:p w14:paraId="4BEA2E86" w14:textId="77777777" w:rsidR="00B20959" w:rsidRPr="00223692" w:rsidRDefault="00B20959" w:rsidP="00660C61">
            <w:pPr>
              <w:spacing w:after="0" w:line="240" w:lineRule="auto"/>
              <w:rPr>
                <w:rFonts w:ascii="Arial" w:hAnsi="Arial" w:cs="Arial"/>
                <w:sz w:val="18"/>
                <w:szCs w:val="18"/>
                <w:lang w:val="mk-MK"/>
              </w:rPr>
            </w:pPr>
          </w:p>
        </w:tc>
        <w:tc>
          <w:tcPr>
            <w:tcW w:w="2505" w:type="dxa"/>
            <w:vMerge/>
            <w:tcBorders>
              <w:left w:val="single" w:sz="4" w:space="0" w:color="000000"/>
              <w:right w:val="single" w:sz="4" w:space="0" w:color="000000"/>
            </w:tcBorders>
          </w:tcPr>
          <w:p w14:paraId="72079827" w14:textId="77777777" w:rsidR="00B20959" w:rsidRPr="00223692" w:rsidRDefault="00B20959" w:rsidP="00660C61">
            <w:pPr>
              <w:spacing w:after="0" w:line="240" w:lineRule="auto"/>
              <w:jc w:val="center"/>
              <w:rPr>
                <w:rFonts w:ascii="Arial" w:eastAsia="Times New Roman" w:hAnsi="Arial" w:cs="Arial"/>
                <w:sz w:val="18"/>
                <w:szCs w:val="18"/>
                <w:lang w:val="mk-MK"/>
              </w:rPr>
            </w:pPr>
          </w:p>
        </w:tc>
        <w:tc>
          <w:tcPr>
            <w:tcW w:w="1995" w:type="dxa"/>
            <w:tcBorders>
              <w:top w:val="single" w:sz="4" w:space="0" w:color="auto"/>
              <w:left w:val="single" w:sz="4" w:space="0" w:color="000000"/>
              <w:right w:val="single" w:sz="4" w:space="0" w:color="000000"/>
            </w:tcBorders>
          </w:tcPr>
          <w:p w14:paraId="28650954"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Dorëzimi i një kopje të listës nga të dhënat në KSHPK</w:t>
            </w:r>
          </w:p>
        </w:tc>
        <w:tc>
          <w:tcPr>
            <w:tcW w:w="3599" w:type="dxa"/>
            <w:vMerge/>
            <w:tcBorders>
              <w:left w:val="single" w:sz="4" w:space="0" w:color="000000"/>
              <w:bottom w:val="single" w:sz="4" w:space="0" w:color="000000"/>
              <w:right w:val="single" w:sz="4" w:space="0" w:color="000000"/>
            </w:tcBorders>
          </w:tcPr>
          <w:p w14:paraId="4723AA6A" w14:textId="77777777" w:rsidR="00B20959" w:rsidRPr="00223692" w:rsidRDefault="00B20959" w:rsidP="00660C61">
            <w:pPr>
              <w:spacing w:after="0" w:line="240" w:lineRule="auto"/>
              <w:jc w:val="center"/>
              <w:rPr>
                <w:rFonts w:ascii="Arial" w:eastAsia="Times New Roman" w:hAnsi="Arial" w:cs="Arial"/>
                <w:sz w:val="18"/>
                <w:szCs w:val="18"/>
                <w:lang w:val="mk-MK"/>
              </w:rPr>
            </w:pPr>
          </w:p>
        </w:tc>
        <w:tc>
          <w:tcPr>
            <w:tcW w:w="1440" w:type="dxa"/>
            <w:tcBorders>
              <w:top w:val="single" w:sz="4" w:space="0" w:color="auto"/>
              <w:left w:val="single" w:sz="4" w:space="0" w:color="000000"/>
              <w:right w:val="single" w:sz="4" w:space="0" w:color="000000"/>
            </w:tcBorders>
          </w:tcPr>
          <w:p w14:paraId="3E4D889D"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F7EBC49"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jo më vonë se data 31 mars 2025.</w:t>
            </w:r>
          </w:p>
        </w:tc>
        <w:tc>
          <w:tcPr>
            <w:tcW w:w="1350" w:type="dxa"/>
            <w:vMerge/>
            <w:tcBorders>
              <w:left w:val="single" w:sz="4" w:space="0" w:color="000000"/>
              <w:bottom w:val="single" w:sz="4" w:space="0" w:color="000000"/>
              <w:right w:val="single" w:sz="4" w:space="0" w:color="000000"/>
            </w:tcBorders>
          </w:tcPr>
          <w:p w14:paraId="7C0A20C5" w14:textId="77777777" w:rsidR="00B20959" w:rsidRPr="00223692" w:rsidRDefault="00B20959" w:rsidP="00660C61">
            <w:pPr>
              <w:spacing w:after="0" w:line="240" w:lineRule="auto"/>
              <w:jc w:val="center"/>
              <w:rPr>
                <w:rFonts w:ascii="Arial" w:eastAsia="Times New Roman" w:hAnsi="Arial" w:cs="Arial"/>
                <w:sz w:val="18"/>
                <w:szCs w:val="18"/>
                <w:lang w:val="mk-MK"/>
              </w:rPr>
            </w:pPr>
          </w:p>
        </w:tc>
        <w:tc>
          <w:tcPr>
            <w:tcW w:w="1350" w:type="dxa"/>
            <w:vMerge/>
            <w:tcBorders>
              <w:left w:val="single" w:sz="4" w:space="0" w:color="000000"/>
              <w:bottom w:val="single" w:sz="4" w:space="0" w:color="000000"/>
              <w:right w:val="single" w:sz="4" w:space="0" w:color="000000"/>
            </w:tcBorders>
          </w:tcPr>
          <w:p w14:paraId="2B98271E" w14:textId="77777777" w:rsidR="00B20959" w:rsidRPr="00223692" w:rsidRDefault="00B20959" w:rsidP="00660C61">
            <w:pPr>
              <w:spacing w:after="0" w:line="240" w:lineRule="auto"/>
              <w:jc w:val="center"/>
              <w:rPr>
                <w:rFonts w:ascii="Arial" w:eastAsia="Times New Roman" w:hAnsi="Arial" w:cs="Arial"/>
                <w:sz w:val="18"/>
                <w:szCs w:val="18"/>
                <w:lang w:val="mk-MK"/>
              </w:rPr>
            </w:pPr>
          </w:p>
        </w:tc>
      </w:tr>
      <w:tr w:rsidR="00C73B51" w:rsidRPr="00223692" w14:paraId="00982C4D" w14:textId="77777777" w:rsidTr="00660C61">
        <w:trPr>
          <w:trHeight w:val="845"/>
        </w:trPr>
        <w:tc>
          <w:tcPr>
            <w:tcW w:w="1786" w:type="dxa"/>
            <w:vMerge w:val="restart"/>
            <w:tcBorders>
              <w:left w:val="single" w:sz="4" w:space="0" w:color="000000"/>
              <w:right w:val="single" w:sz="4" w:space="0" w:color="000000"/>
            </w:tcBorders>
          </w:tcPr>
          <w:p w14:paraId="2C1DF774" w14:textId="77777777" w:rsidR="001A3C26" w:rsidRDefault="001A3C26" w:rsidP="009F2804">
            <w:pPr>
              <w:spacing w:after="0" w:line="240" w:lineRule="auto"/>
              <w:jc w:val="center"/>
              <w:rPr>
                <w:rFonts w:ascii="Arial" w:hAnsi="Arial" w:cs="Arial"/>
                <w:sz w:val="18"/>
                <w:szCs w:val="18"/>
                <w:lang w:val="mk-MK"/>
              </w:rPr>
            </w:pPr>
          </w:p>
          <w:p w14:paraId="14AAEDFE" w14:textId="77777777" w:rsidR="001A3C26" w:rsidRDefault="001A3C26" w:rsidP="009F2804">
            <w:pPr>
              <w:spacing w:after="0" w:line="240" w:lineRule="auto"/>
              <w:jc w:val="center"/>
              <w:rPr>
                <w:rFonts w:ascii="Arial" w:hAnsi="Arial" w:cs="Arial"/>
                <w:sz w:val="18"/>
                <w:szCs w:val="18"/>
                <w:lang w:val="mk-MK"/>
              </w:rPr>
            </w:pPr>
          </w:p>
          <w:p w14:paraId="7C78DC5F" w14:textId="77777777" w:rsidR="00C73B51" w:rsidRPr="00223692" w:rsidRDefault="00C73B51" w:rsidP="009F2804">
            <w:pPr>
              <w:spacing w:after="0" w:line="240" w:lineRule="auto"/>
              <w:jc w:val="center"/>
              <w:rPr>
                <w:rFonts w:ascii="Arial" w:hAnsi="Arial" w:cs="Arial"/>
                <w:sz w:val="18"/>
                <w:szCs w:val="18"/>
                <w:lang w:val="mk-MK"/>
              </w:rPr>
            </w:pPr>
            <w:r w:rsidRPr="00223692">
              <w:rPr>
                <w:rFonts w:ascii="Arial" w:hAnsi="Arial" w:cs="Arial"/>
                <w:sz w:val="18"/>
                <w:szCs w:val="18"/>
                <w:lang w:val="mk-MK"/>
              </w:rPr>
              <w:t>Sjellja e punonjësve në kundërshtim me</w:t>
            </w:r>
            <w:r w:rsidRPr="00223692">
              <w:rPr>
                <w:rFonts w:ascii="Arial" w:hAnsi="Arial" w:cs="Arial"/>
                <w:sz w:val="18"/>
                <w:szCs w:val="18"/>
                <w:lang w:val="sq-AL"/>
              </w:rPr>
              <w:t xml:space="preserve"> </w:t>
            </w:r>
            <w:r w:rsidRPr="00223692">
              <w:rPr>
                <w:rFonts w:ascii="Arial" w:hAnsi="Arial" w:cs="Arial"/>
                <w:sz w:val="18"/>
                <w:szCs w:val="18"/>
                <w:lang w:val="mk-MK"/>
              </w:rPr>
              <w:t>Strategjia e Agjencisë për Menaxhimin e Riskut</w:t>
            </w:r>
          </w:p>
        </w:tc>
        <w:tc>
          <w:tcPr>
            <w:tcW w:w="2505" w:type="dxa"/>
            <w:tcBorders>
              <w:left w:val="single" w:sz="4" w:space="0" w:color="000000"/>
              <w:right w:val="single" w:sz="4" w:space="0" w:color="000000"/>
            </w:tcBorders>
          </w:tcPr>
          <w:p w14:paraId="43AB2412" w14:textId="77777777" w:rsidR="00C73B51" w:rsidRPr="00223692" w:rsidRDefault="00C73B51" w:rsidP="00660C61">
            <w:pPr>
              <w:spacing w:after="0" w:line="240" w:lineRule="auto"/>
              <w:rPr>
                <w:rFonts w:ascii="Arial" w:eastAsia="Times New Roman" w:hAnsi="Arial" w:cs="Arial"/>
                <w:sz w:val="18"/>
                <w:szCs w:val="18"/>
                <w:lang w:val="mk-MK"/>
              </w:rPr>
            </w:pPr>
          </w:p>
          <w:p w14:paraId="17938E40" w14:textId="77777777" w:rsidR="00C73B51" w:rsidRPr="00223692" w:rsidRDefault="00C73B51" w:rsidP="0097727E">
            <w:pPr>
              <w:spacing w:after="0" w:line="240" w:lineRule="auto"/>
              <w:jc w:val="center"/>
              <w:rPr>
                <w:rFonts w:ascii="Arial" w:eastAsia="Times New Roman" w:hAnsi="Arial" w:cs="Arial"/>
                <w:sz w:val="18"/>
                <w:szCs w:val="18"/>
                <w:lang w:val="sq-AL"/>
              </w:rPr>
            </w:pPr>
            <w:r w:rsidRPr="00223692">
              <w:rPr>
                <w:rFonts w:ascii="Arial" w:eastAsia="Times New Roman" w:hAnsi="Arial" w:cs="Arial"/>
                <w:sz w:val="18"/>
                <w:szCs w:val="18"/>
                <w:lang w:val="mk-MK"/>
              </w:rPr>
              <w:t>Përditësimi i Regjistrit të Riskut</w:t>
            </w:r>
            <w:r w:rsidRPr="00223692">
              <w:rPr>
                <w:rFonts w:ascii="Arial" w:eastAsia="Times New Roman" w:hAnsi="Arial" w:cs="Arial"/>
                <w:sz w:val="18"/>
                <w:szCs w:val="18"/>
              </w:rPr>
              <w:t xml:space="preserve"> </w:t>
            </w:r>
            <w:r w:rsidRPr="00223692">
              <w:rPr>
                <w:rFonts w:ascii="Arial" w:eastAsia="Times New Roman" w:hAnsi="Arial" w:cs="Arial"/>
                <w:sz w:val="18"/>
                <w:szCs w:val="18"/>
                <w:lang w:val="mk-MK"/>
              </w:rPr>
              <w:t>për vitin 2025</w:t>
            </w:r>
            <w:r w:rsidRPr="00223692">
              <w:rPr>
                <w:rFonts w:ascii="Arial" w:eastAsia="Times New Roman" w:hAnsi="Arial" w:cs="Arial"/>
                <w:sz w:val="18"/>
                <w:szCs w:val="18"/>
              </w:rPr>
              <w:t xml:space="preserve"> </w:t>
            </w:r>
            <w:r w:rsidRPr="00223692">
              <w:rPr>
                <w:rFonts w:ascii="Arial" w:eastAsia="Times New Roman" w:hAnsi="Arial" w:cs="Arial"/>
                <w:sz w:val="18"/>
                <w:szCs w:val="18"/>
                <w:lang w:val="mk-MK"/>
              </w:rPr>
              <w:t>dhe kontrollin e rregullt të gjendjes së rreziqeve në regjistër</w:t>
            </w:r>
          </w:p>
          <w:p w14:paraId="12C4DA36" w14:textId="77777777" w:rsidR="00C73B51" w:rsidRPr="00223692" w:rsidRDefault="00C73B51" w:rsidP="00660C61">
            <w:pPr>
              <w:spacing w:after="0" w:line="240" w:lineRule="auto"/>
              <w:rPr>
                <w:rFonts w:ascii="Arial" w:eastAsia="Times New Roman" w:hAnsi="Arial" w:cs="Arial"/>
                <w:sz w:val="18"/>
                <w:szCs w:val="18"/>
                <w:lang w:val="mk-MK"/>
              </w:rPr>
            </w:pPr>
          </w:p>
        </w:tc>
        <w:tc>
          <w:tcPr>
            <w:tcW w:w="1995" w:type="dxa"/>
            <w:tcBorders>
              <w:top w:val="single" w:sz="4" w:space="0" w:color="auto"/>
              <w:left w:val="single" w:sz="4" w:space="0" w:color="000000"/>
              <w:right w:val="single" w:sz="4" w:space="0" w:color="000000"/>
            </w:tcBorders>
          </w:tcPr>
          <w:p w14:paraId="24F3FC7F" w14:textId="77777777" w:rsidR="00C73B51" w:rsidRPr="00223692" w:rsidRDefault="00C73B51" w:rsidP="00660C61">
            <w:pPr>
              <w:spacing w:after="0" w:line="240" w:lineRule="auto"/>
              <w:jc w:val="center"/>
              <w:rPr>
                <w:rFonts w:ascii="Arial" w:eastAsia="Times New Roman" w:hAnsi="Arial" w:cs="Arial"/>
                <w:sz w:val="18"/>
                <w:szCs w:val="18"/>
                <w:lang w:val="mk-MK"/>
              </w:rPr>
            </w:pPr>
          </w:p>
          <w:p w14:paraId="3F2A546D" w14:textId="77777777" w:rsidR="00C73B51" w:rsidRPr="00223692" w:rsidRDefault="00C73B51"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Krijimi i një sistemi të menaxhimit të rrezikut të korrupsionit</w:t>
            </w:r>
          </w:p>
        </w:tc>
        <w:tc>
          <w:tcPr>
            <w:tcW w:w="3599" w:type="dxa"/>
            <w:tcBorders>
              <w:left w:val="single" w:sz="4" w:space="0" w:color="000000"/>
              <w:bottom w:val="single" w:sz="4" w:space="0" w:color="000000"/>
              <w:right w:val="single" w:sz="4" w:space="0" w:color="000000"/>
            </w:tcBorders>
          </w:tcPr>
          <w:p w14:paraId="55F5AD97" w14:textId="77777777" w:rsidR="00C73B51" w:rsidRPr="00223692" w:rsidRDefault="00C73B51" w:rsidP="009F2804">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 xml:space="preserve">Ekipi i krijuar me Vendim nr. 02-2074/1, datë 18.03.2015, për përgatitjen e Strategjisë së </w:t>
            </w:r>
            <w:r w:rsidRPr="00223692">
              <w:rPr>
                <w:rFonts w:ascii="Arial" w:hAnsi="Arial" w:cs="Arial"/>
                <w:sz w:val="18"/>
                <w:szCs w:val="18"/>
                <w:lang w:val="mk-MK"/>
              </w:rPr>
              <w:t xml:space="preserve">Menaxhimit të Riskut të Agjencisë </w:t>
            </w:r>
            <w:r w:rsidRPr="00223692">
              <w:rPr>
                <w:rFonts w:ascii="Arial" w:eastAsia="Times New Roman" w:hAnsi="Arial" w:cs="Arial"/>
                <w:sz w:val="18"/>
                <w:szCs w:val="18"/>
                <w:lang w:val="mk-MK"/>
              </w:rPr>
              <w:t>(Drejtori dhe Ndihmës Drejtuesi i SFL, i punësuar në SSPZAP dhe auditori i brendshëm në SIR).</w:t>
            </w:r>
          </w:p>
        </w:tc>
        <w:tc>
          <w:tcPr>
            <w:tcW w:w="1440" w:type="dxa"/>
            <w:tcBorders>
              <w:top w:val="single" w:sz="4" w:space="0" w:color="auto"/>
              <w:left w:val="single" w:sz="4" w:space="0" w:color="000000"/>
              <w:right w:val="single" w:sz="4" w:space="0" w:color="000000"/>
            </w:tcBorders>
          </w:tcPr>
          <w:p w14:paraId="4D116B72" w14:textId="77777777" w:rsidR="00C73B51" w:rsidRPr="00223692" w:rsidRDefault="00C73B51" w:rsidP="00660C61">
            <w:pPr>
              <w:spacing w:after="0" w:line="240" w:lineRule="auto"/>
              <w:jc w:val="center"/>
              <w:rPr>
                <w:rFonts w:ascii="Arial" w:eastAsia="Times New Roman" w:hAnsi="Arial" w:cs="Arial"/>
                <w:sz w:val="18"/>
                <w:szCs w:val="18"/>
                <w:lang w:val="mk-MK"/>
              </w:rPr>
            </w:pPr>
          </w:p>
          <w:p w14:paraId="3053DC57" w14:textId="77777777" w:rsidR="00C73B51" w:rsidRPr="00223692" w:rsidRDefault="00C73B51" w:rsidP="00660C61">
            <w:pPr>
              <w:spacing w:after="0" w:line="240" w:lineRule="auto"/>
              <w:jc w:val="center"/>
              <w:rPr>
                <w:rFonts w:ascii="Arial" w:eastAsia="Times New Roman" w:hAnsi="Arial" w:cs="Arial"/>
                <w:sz w:val="18"/>
                <w:szCs w:val="18"/>
                <w:lang w:val="mk-MK"/>
              </w:rPr>
            </w:pPr>
          </w:p>
          <w:p w14:paraId="1C38CCF9" w14:textId="77777777" w:rsidR="00C73B51" w:rsidRPr="00223692" w:rsidRDefault="00EC6E30"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vazhdimisht</w:t>
            </w:r>
          </w:p>
        </w:tc>
        <w:tc>
          <w:tcPr>
            <w:tcW w:w="1350" w:type="dxa"/>
            <w:tcBorders>
              <w:left w:val="single" w:sz="4" w:space="0" w:color="000000"/>
              <w:bottom w:val="single" w:sz="4" w:space="0" w:color="000000"/>
              <w:right w:val="single" w:sz="4" w:space="0" w:color="000000"/>
            </w:tcBorders>
          </w:tcPr>
          <w:p w14:paraId="4A1C3E5A" w14:textId="77777777" w:rsidR="00C73B51" w:rsidRPr="00223692" w:rsidRDefault="00C73B51" w:rsidP="00660C61">
            <w:pPr>
              <w:spacing w:after="0" w:line="240" w:lineRule="auto"/>
              <w:jc w:val="center"/>
              <w:rPr>
                <w:rFonts w:ascii="Arial" w:eastAsia="Times New Roman" w:hAnsi="Arial" w:cs="Arial"/>
                <w:sz w:val="18"/>
                <w:szCs w:val="18"/>
                <w:lang w:val="mk-MK"/>
              </w:rPr>
            </w:pPr>
          </w:p>
          <w:p w14:paraId="3890F0FE" w14:textId="77777777" w:rsidR="00C73B51" w:rsidRPr="00223692" w:rsidRDefault="00C73B51" w:rsidP="00660C61">
            <w:pPr>
              <w:spacing w:after="0" w:line="240" w:lineRule="auto"/>
              <w:jc w:val="center"/>
              <w:rPr>
                <w:rFonts w:ascii="Arial" w:eastAsia="Times New Roman" w:hAnsi="Arial" w:cs="Arial"/>
                <w:sz w:val="18"/>
                <w:szCs w:val="18"/>
                <w:lang w:val="mk-MK"/>
              </w:rPr>
            </w:pPr>
          </w:p>
          <w:p w14:paraId="2B7A0223" w14:textId="77777777" w:rsidR="00C73B51" w:rsidRPr="00223692" w:rsidRDefault="004C0111"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nuk ka</w:t>
            </w:r>
          </w:p>
        </w:tc>
        <w:tc>
          <w:tcPr>
            <w:tcW w:w="1350" w:type="dxa"/>
            <w:tcBorders>
              <w:left w:val="single" w:sz="4" w:space="0" w:color="000000"/>
              <w:bottom w:val="single" w:sz="4" w:space="0" w:color="000000"/>
              <w:right w:val="single" w:sz="4" w:space="0" w:color="000000"/>
            </w:tcBorders>
          </w:tcPr>
          <w:p w14:paraId="02B0C598" w14:textId="77777777" w:rsidR="00C73B51" w:rsidRPr="00223692" w:rsidRDefault="00C73B51" w:rsidP="00660C61">
            <w:pPr>
              <w:spacing w:after="0" w:line="240" w:lineRule="auto"/>
              <w:jc w:val="center"/>
              <w:rPr>
                <w:rFonts w:ascii="Arial" w:eastAsia="Times New Roman" w:hAnsi="Arial" w:cs="Arial"/>
                <w:sz w:val="18"/>
                <w:szCs w:val="18"/>
                <w:lang w:val="mk-MK"/>
              </w:rPr>
            </w:pPr>
          </w:p>
          <w:p w14:paraId="529919A1" w14:textId="77777777" w:rsidR="00C73B51" w:rsidRPr="00223692" w:rsidRDefault="00C73B51" w:rsidP="00660C61">
            <w:pPr>
              <w:spacing w:after="0" w:line="240" w:lineRule="auto"/>
              <w:jc w:val="center"/>
              <w:rPr>
                <w:rFonts w:ascii="Arial" w:eastAsia="Times New Roman" w:hAnsi="Arial" w:cs="Arial"/>
                <w:sz w:val="18"/>
                <w:szCs w:val="18"/>
                <w:lang w:val="mk-MK"/>
              </w:rPr>
            </w:pPr>
          </w:p>
          <w:p w14:paraId="56792548" w14:textId="77777777" w:rsidR="00C73B51" w:rsidRPr="00223692" w:rsidRDefault="004C0111"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pjesërisht e kontrolluar</w:t>
            </w:r>
          </w:p>
        </w:tc>
      </w:tr>
      <w:tr w:rsidR="00C73B51" w:rsidRPr="00223692" w14:paraId="338BA399" w14:textId="77777777" w:rsidTr="00660C61">
        <w:trPr>
          <w:trHeight w:val="845"/>
        </w:trPr>
        <w:tc>
          <w:tcPr>
            <w:tcW w:w="1786" w:type="dxa"/>
            <w:vMerge/>
            <w:tcBorders>
              <w:left w:val="single" w:sz="4" w:space="0" w:color="000000"/>
              <w:right w:val="single" w:sz="4" w:space="0" w:color="000000"/>
            </w:tcBorders>
          </w:tcPr>
          <w:p w14:paraId="68E84416" w14:textId="77777777" w:rsidR="00C73B51" w:rsidRPr="00223692" w:rsidRDefault="00C73B51" w:rsidP="0097727E">
            <w:pPr>
              <w:spacing w:after="0" w:line="240" w:lineRule="auto"/>
              <w:jc w:val="center"/>
              <w:rPr>
                <w:rFonts w:ascii="Arial" w:hAnsi="Arial" w:cs="Arial"/>
                <w:sz w:val="18"/>
                <w:szCs w:val="18"/>
                <w:lang w:val="mk-MK"/>
              </w:rPr>
            </w:pPr>
          </w:p>
        </w:tc>
        <w:tc>
          <w:tcPr>
            <w:tcW w:w="2505" w:type="dxa"/>
            <w:tcBorders>
              <w:left w:val="single" w:sz="4" w:space="0" w:color="000000"/>
              <w:right w:val="single" w:sz="4" w:space="0" w:color="000000"/>
            </w:tcBorders>
          </w:tcPr>
          <w:p w14:paraId="3188F016" w14:textId="77777777" w:rsidR="00C73B51" w:rsidRDefault="00C73B51" w:rsidP="0097727E">
            <w:pPr>
              <w:spacing w:after="0" w:line="240" w:lineRule="auto"/>
              <w:jc w:val="center"/>
              <w:rPr>
                <w:rFonts w:ascii="Arial" w:eastAsia="Times New Roman" w:hAnsi="Arial" w:cs="Arial"/>
                <w:sz w:val="18"/>
                <w:szCs w:val="18"/>
                <w:lang w:val="mk-MK"/>
              </w:rPr>
            </w:pPr>
          </w:p>
          <w:p w14:paraId="6D6F571A" w14:textId="77777777" w:rsidR="00C73B51" w:rsidRPr="00223692" w:rsidRDefault="00C73B51" w:rsidP="0097727E">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Zhvillimi i një Strategjie për Menaxhimin e Riskut</w:t>
            </w:r>
            <w:r w:rsidRPr="00223692">
              <w:rPr>
                <w:rFonts w:ascii="Arial" w:eastAsia="Times New Roman" w:hAnsi="Arial" w:cs="Arial"/>
                <w:sz w:val="18"/>
                <w:szCs w:val="18"/>
              </w:rPr>
              <w:t xml:space="preserve"> </w:t>
            </w:r>
            <w:r w:rsidR="00EC6E30">
              <w:rPr>
                <w:rFonts w:ascii="Arial" w:eastAsia="Times New Roman" w:hAnsi="Arial" w:cs="Arial"/>
                <w:sz w:val="18"/>
                <w:szCs w:val="18"/>
                <w:lang w:val="mk-MK"/>
              </w:rPr>
              <w:t>(2025 - 2029)</w:t>
            </w:r>
          </w:p>
        </w:tc>
        <w:tc>
          <w:tcPr>
            <w:tcW w:w="1995" w:type="dxa"/>
            <w:tcBorders>
              <w:top w:val="single" w:sz="4" w:space="0" w:color="auto"/>
              <w:left w:val="single" w:sz="4" w:space="0" w:color="000000"/>
              <w:right w:val="single" w:sz="4" w:space="0" w:color="000000"/>
            </w:tcBorders>
          </w:tcPr>
          <w:p w14:paraId="636D7BDA" w14:textId="77777777" w:rsidR="00C73B51" w:rsidRPr="00223692" w:rsidRDefault="00C73B51" w:rsidP="0097727E">
            <w:pPr>
              <w:spacing w:after="0" w:line="240" w:lineRule="auto"/>
              <w:jc w:val="center"/>
              <w:rPr>
                <w:rFonts w:ascii="Arial" w:eastAsia="Times New Roman" w:hAnsi="Arial" w:cs="Arial"/>
                <w:sz w:val="18"/>
                <w:szCs w:val="18"/>
                <w:lang w:val="mk-MK"/>
              </w:rPr>
            </w:pPr>
          </w:p>
          <w:p w14:paraId="7A353A53" w14:textId="77777777" w:rsidR="00C73B51" w:rsidRPr="00223692" w:rsidRDefault="00C73B51" w:rsidP="0097727E">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Krijimi i një sistemi të menaxhimit të rrezikut të korrupsionit</w:t>
            </w:r>
          </w:p>
        </w:tc>
        <w:tc>
          <w:tcPr>
            <w:tcW w:w="3599" w:type="dxa"/>
            <w:tcBorders>
              <w:left w:val="single" w:sz="4" w:space="0" w:color="000000"/>
              <w:bottom w:val="single" w:sz="4" w:space="0" w:color="000000"/>
              <w:right w:val="single" w:sz="4" w:space="0" w:color="000000"/>
            </w:tcBorders>
          </w:tcPr>
          <w:p w14:paraId="448C591B" w14:textId="77777777" w:rsidR="00C73B51" w:rsidRDefault="00C73B51" w:rsidP="0097727E">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 xml:space="preserve">Ekipi i krijuar me Vendim nr. 02-2074/1, datë 18.03.2015, për përgatitjen e Strategjisë së </w:t>
            </w:r>
            <w:r w:rsidRPr="00223692">
              <w:rPr>
                <w:rFonts w:ascii="Arial" w:hAnsi="Arial" w:cs="Arial"/>
                <w:sz w:val="18"/>
                <w:szCs w:val="18"/>
                <w:lang w:val="mk-MK"/>
              </w:rPr>
              <w:t xml:space="preserve">Menaxhimit të Riskut të Agjencisë </w:t>
            </w:r>
            <w:r w:rsidRPr="00223692">
              <w:rPr>
                <w:rFonts w:ascii="Arial" w:eastAsia="Times New Roman" w:hAnsi="Arial" w:cs="Arial"/>
                <w:sz w:val="18"/>
                <w:szCs w:val="18"/>
                <w:lang w:val="mk-MK"/>
              </w:rPr>
              <w:t>(Drejtori dhe Ndihmës Drejtuesi i SFL, i punësuar në SSPZAP dhe auditori i brendshëm në SIR).</w:t>
            </w:r>
          </w:p>
          <w:p w14:paraId="670B8413" w14:textId="77777777" w:rsidR="00977EEE" w:rsidRPr="00223692" w:rsidRDefault="00977EEE" w:rsidP="0097727E">
            <w:pPr>
              <w:spacing w:after="0" w:line="240" w:lineRule="auto"/>
              <w:jc w:val="center"/>
              <w:rPr>
                <w:rFonts w:ascii="Arial" w:eastAsia="Times New Roman" w:hAnsi="Arial" w:cs="Arial"/>
                <w:sz w:val="18"/>
                <w:szCs w:val="18"/>
                <w:lang w:val="mk-MK"/>
              </w:rPr>
            </w:pPr>
          </w:p>
        </w:tc>
        <w:tc>
          <w:tcPr>
            <w:tcW w:w="1440" w:type="dxa"/>
            <w:tcBorders>
              <w:top w:val="single" w:sz="4" w:space="0" w:color="auto"/>
              <w:left w:val="single" w:sz="4" w:space="0" w:color="000000"/>
              <w:right w:val="single" w:sz="4" w:space="0" w:color="000000"/>
            </w:tcBorders>
          </w:tcPr>
          <w:p w14:paraId="3FD6CBE8" w14:textId="77777777" w:rsidR="00C73B51" w:rsidRPr="00223692" w:rsidRDefault="00C73B51" w:rsidP="0097727E">
            <w:pPr>
              <w:spacing w:after="0" w:line="240" w:lineRule="auto"/>
              <w:jc w:val="center"/>
              <w:rPr>
                <w:rFonts w:ascii="Arial" w:eastAsia="Times New Roman" w:hAnsi="Arial" w:cs="Arial"/>
                <w:sz w:val="18"/>
                <w:szCs w:val="18"/>
                <w:lang w:val="mk-MK"/>
              </w:rPr>
            </w:pPr>
          </w:p>
          <w:p w14:paraId="2E59588D" w14:textId="77777777" w:rsidR="00C73B51" w:rsidRPr="00223692" w:rsidRDefault="00C73B51" w:rsidP="0097727E">
            <w:pPr>
              <w:spacing w:after="0" w:line="240" w:lineRule="auto"/>
              <w:jc w:val="center"/>
              <w:rPr>
                <w:rFonts w:ascii="Arial" w:eastAsia="Times New Roman" w:hAnsi="Arial" w:cs="Arial"/>
                <w:sz w:val="18"/>
                <w:szCs w:val="18"/>
                <w:lang w:val="mk-MK"/>
              </w:rPr>
            </w:pPr>
          </w:p>
          <w:p w14:paraId="34A6E7D3" w14:textId="77777777" w:rsidR="00C73B51" w:rsidRPr="00223692" w:rsidRDefault="00C73B51" w:rsidP="0097727E">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gjatë vitit 2025</w:t>
            </w:r>
          </w:p>
        </w:tc>
        <w:tc>
          <w:tcPr>
            <w:tcW w:w="1350" w:type="dxa"/>
            <w:tcBorders>
              <w:left w:val="single" w:sz="4" w:space="0" w:color="000000"/>
              <w:bottom w:val="single" w:sz="4" w:space="0" w:color="000000"/>
              <w:right w:val="single" w:sz="4" w:space="0" w:color="000000"/>
            </w:tcBorders>
          </w:tcPr>
          <w:p w14:paraId="021851E3" w14:textId="77777777" w:rsidR="00C73B51" w:rsidRPr="00223692" w:rsidRDefault="00C73B51" w:rsidP="0097727E">
            <w:pPr>
              <w:spacing w:after="0" w:line="240" w:lineRule="auto"/>
              <w:jc w:val="center"/>
              <w:rPr>
                <w:rFonts w:ascii="Arial" w:eastAsia="Times New Roman" w:hAnsi="Arial" w:cs="Arial"/>
                <w:sz w:val="18"/>
                <w:szCs w:val="18"/>
                <w:lang w:val="mk-MK"/>
              </w:rPr>
            </w:pPr>
          </w:p>
          <w:p w14:paraId="7A0A28D5" w14:textId="77777777" w:rsidR="00C73B51" w:rsidRPr="00223692" w:rsidRDefault="00C73B51" w:rsidP="0097727E">
            <w:pPr>
              <w:spacing w:after="0" w:line="240" w:lineRule="auto"/>
              <w:jc w:val="center"/>
              <w:rPr>
                <w:rFonts w:ascii="Arial" w:eastAsia="Times New Roman" w:hAnsi="Arial" w:cs="Arial"/>
                <w:sz w:val="18"/>
                <w:szCs w:val="18"/>
                <w:lang w:val="mk-MK"/>
              </w:rPr>
            </w:pPr>
          </w:p>
          <w:p w14:paraId="72CD7C7F" w14:textId="77777777" w:rsidR="00C73B51" w:rsidRPr="00223692" w:rsidRDefault="00C73B51" w:rsidP="0097727E">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Nuk ka asnjë.</w:t>
            </w:r>
          </w:p>
        </w:tc>
        <w:tc>
          <w:tcPr>
            <w:tcW w:w="1350" w:type="dxa"/>
            <w:tcBorders>
              <w:left w:val="single" w:sz="4" w:space="0" w:color="000000"/>
              <w:bottom w:val="single" w:sz="4" w:space="0" w:color="000000"/>
              <w:right w:val="single" w:sz="4" w:space="0" w:color="000000"/>
            </w:tcBorders>
          </w:tcPr>
          <w:p w14:paraId="502E147D" w14:textId="77777777" w:rsidR="00C73B51" w:rsidRPr="00223692" w:rsidRDefault="00C73B51" w:rsidP="0097727E">
            <w:pPr>
              <w:spacing w:after="0" w:line="240" w:lineRule="auto"/>
              <w:jc w:val="center"/>
              <w:rPr>
                <w:rFonts w:ascii="Arial" w:eastAsia="Times New Roman" w:hAnsi="Arial" w:cs="Arial"/>
                <w:sz w:val="18"/>
                <w:szCs w:val="18"/>
                <w:lang w:val="mk-MK"/>
              </w:rPr>
            </w:pPr>
          </w:p>
          <w:p w14:paraId="12D4DF19" w14:textId="77777777" w:rsidR="00C73B51" w:rsidRPr="00223692" w:rsidRDefault="00C73B51" w:rsidP="0097727E">
            <w:pPr>
              <w:spacing w:after="0" w:line="240" w:lineRule="auto"/>
              <w:jc w:val="center"/>
              <w:rPr>
                <w:rFonts w:ascii="Arial" w:eastAsia="Times New Roman" w:hAnsi="Arial" w:cs="Arial"/>
                <w:sz w:val="18"/>
                <w:szCs w:val="18"/>
                <w:lang w:val="mk-MK"/>
              </w:rPr>
            </w:pPr>
          </w:p>
          <w:p w14:paraId="0B7F73D7" w14:textId="77777777" w:rsidR="00C73B51" w:rsidRPr="00223692" w:rsidRDefault="004C0111" w:rsidP="0097727E">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pjesërisht e kontrolluar</w:t>
            </w:r>
          </w:p>
        </w:tc>
      </w:tr>
      <w:tr w:rsidR="00223692" w:rsidRPr="00223692" w14:paraId="51B2CB8B" w14:textId="77777777" w:rsidTr="00660C61">
        <w:trPr>
          <w:trHeight w:val="278"/>
        </w:trPr>
        <w:tc>
          <w:tcPr>
            <w:tcW w:w="14025" w:type="dxa"/>
            <w:gridSpan w:val="7"/>
            <w:tcBorders>
              <w:left w:val="single" w:sz="4" w:space="0" w:color="000000"/>
              <w:right w:val="single" w:sz="4" w:space="0" w:color="000000"/>
            </w:tcBorders>
            <w:shd w:val="clear" w:color="auto" w:fill="C9C9C9" w:themeFill="accent3" w:themeFillTint="99"/>
          </w:tcPr>
          <w:p w14:paraId="0F0FE9AB" w14:textId="77777777" w:rsidR="009F2804" w:rsidRPr="00223692" w:rsidRDefault="009F2804" w:rsidP="00660C61">
            <w:pPr>
              <w:spacing w:after="0" w:line="240" w:lineRule="auto"/>
              <w:rPr>
                <w:rFonts w:ascii="Arial" w:hAnsi="Arial" w:cs="Arial"/>
                <w:b/>
                <w:sz w:val="18"/>
                <w:szCs w:val="18"/>
              </w:rPr>
            </w:pPr>
          </w:p>
          <w:p w14:paraId="70840ABA" w14:textId="77777777" w:rsidR="00C07D43" w:rsidRPr="00223692" w:rsidRDefault="00B20959" w:rsidP="00660C61">
            <w:pPr>
              <w:spacing w:after="0" w:line="240" w:lineRule="auto"/>
              <w:rPr>
                <w:rFonts w:ascii="Arial" w:hAnsi="Arial" w:cs="Arial"/>
                <w:b/>
                <w:sz w:val="18"/>
                <w:szCs w:val="18"/>
                <w:lang w:val="mk-MK"/>
              </w:rPr>
            </w:pPr>
            <w:r w:rsidRPr="00223692">
              <w:rPr>
                <w:rFonts w:ascii="Arial" w:hAnsi="Arial" w:cs="Arial"/>
                <w:b/>
                <w:sz w:val="18"/>
                <w:szCs w:val="18"/>
              </w:rPr>
              <w:t xml:space="preserve">Fusha 2: </w:t>
            </w:r>
            <w:r w:rsidRPr="00223692">
              <w:rPr>
                <w:rFonts w:ascii="Arial" w:hAnsi="Arial" w:cs="Arial"/>
                <w:b/>
                <w:sz w:val="18"/>
                <w:szCs w:val="18"/>
                <w:lang w:val="mk-MK"/>
              </w:rPr>
              <w:t>Cilësia e punës në Agjencinë për Shërbime Mediatike Audio dhe Audiovizive</w:t>
            </w:r>
          </w:p>
          <w:p w14:paraId="149C77F6" w14:textId="77777777" w:rsidR="009F2804" w:rsidRPr="00223692" w:rsidRDefault="009F2804" w:rsidP="00660C61">
            <w:pPr>
              <w:spacing w:after="0" w:line="240" w:lineRule="auto"/>
              <w:rPr>
                <w:rFonts w:ascii="Arial" w:hAnsi="Arial" w:cs="Arial"/>
                <w:b/>
                <w:sz w:val="18"/>
                <w:szCs w:val="18"/>
                <w:lang w:val="mk-MK"/>
              </w:rPr>
            </w:pPr>
          </w:p>
        </w:tc>
      </w:tr>
      <w:tr w:rsidR="00223692" w:rsidRPr="00223692" w14:paraId="501FA013" w14:textId="77777777" w:rsidTr="00660C61">
        <w:trPr>
          <w:trHeight w:val="512"/>
        </w:trPr>
        <w:tc>
          <w:tcPr>
            <w:tcW w:w="1786" w:type="dxa"/>
            <w:shd w:val="clear" w:color="auto" w:fill="D9D9D9" w:themeFill="background1" w:themeFillShade="D9"/>
          </w:tcPr>
          <w:p w14:paraId="53376FA8"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Rreziku</w:t>
            </w:r>
          </w:p>
        </w:tc>
        <w:tc>
          <w:tcPr>
            <w:tcW w:w="2505" w:type="dxa"/>
            <w:shd w:val="clear" w:color="auto" w:fill="D9D9D9" w:themeFill="background1" w:themeFillShade="D9"/>
          </w:tcPr>
          <w:p w14:paraId="10C369E8"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Aktiviteti</w:t>
            </w:r>
          </w:p>
        </w:tc>
        <w:tc>
          <w:tcPr>
            <w:tcW w:w="1995" w:type="dxa"/>
            <w:shd w:val="clear" w:color="auto" w:fill="D9D9D9" w:themeFill="background1" w:themeFillShade="D9"/>
          </w:tcPr>
          <w:p w14:paraId="33C2B602"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Masa</w:t>
            </w:r>
          </w:p>
        </w:tc>
        <w:tc>
          <w:tcPr>
            <w:tcW w:w="3599" w:type="dxa"/>
            <w:shd w:val="clear" w:color="auto" w:fill="D9D9D9" w:themeFill="background1" w:themeFillShade="D9"/>
          </w:tcPr>
          <w:p w14:paraId="4FCD4491" w14:textId="77777777" w:rsidR="00B20959" w:rsidRPr="00223692" w:rsidRDefault="00B20959" w:rsidP="00A353BC">
            <w:pPr>
              <w:spacing w:after="0" w:line="240" w:lineRule="auto"/>
              <w:jc w:val="center"/>
              <w:rPr>
                <w:sz w:val="10"/>
                <w:szCs w:val="10"/>
                <w:lang w:val="mk-MK"/>
              </w:rPr>
            </w:pPr>
            <w:r w:rsidRPr="00223692">
              <w:rPr>
                <w:rFonts w:ascii="Arial" w:eastAsia="Times New Roman" w:hAnsi="Arial" w:cs="Arial"/>
                <w:b/>
                <w:i/>
                <w:sz w:val="18"/>
                <w:szCs w:val="18"/>
                <w:lang w:val="mk-MK"/>
              </w:rPr>
              <w:t>Mbajtës/njësi organizative kompetente</w:t>
            </w:r>
          </w:p>
        </w:tc>
        <w:tc>
          <w:tcPr>
            <w:tcW w:w="1440" w:type="dxa"/>
            <w:shd w:val="clear" w:color="auto" w:fill="D9D9D9" w:themeFill="background1" w:themeFillShade="D9"/>
          </w:tcPr>
          <w:p w14:paraId="10CC405A"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Afati i zbatimit</w:t>
            </w:r>
          </w:p>
        </w:tc>
        <w:tc>
          <w:tcPr>
            <w:tcW w:w="1350" w:type="dxa"/>
            <w:shd w:val="clear" w:color="auto" w:fill="D9D9D9" w:themeFill="background1" w:themeFillShade="D9"/>
          </w:tcPr>
          <w:p w14:paraId="06CD6FBA"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Implikimet financiare</w:t>
            </w:r>
          </w:p>
        </w:tc>
        <w:tc>
          <w:tcPr>
            <w:tcW w:w="1350" w:type="dxa"/>
            <w:shd w:val="clear" w:color="auto" w:fill="D9D9D9" w:themeFill="background1" w:themeFillShade="D9"/>
          </w:tcPr>
          <w:p w14:paraId="1243DA6F"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Vlerësimi i rrezikut</w:t>
            </w:r>
          </w:p>
        </w:tc>
      </w:tr>
      <w:tr w:rsidR="00223692" w:rsidRPr="00223692" w14:paraId="09962CC7" w14:textId="77777777" w:rsidTr="00660C61">
        <w:trPr>
          <w:trHeight w:val="1097"/>
        </w:trPr>
        <w:tc>
          <w:tcPr>
            <w:tcW w:w="1786" w:type="dxa"/>
            <w:vMerge w:val="restart"/>
            <w:shd w:val="clear" w:color="auto" w:fill="FFFFFF" w:themeFill="background1"/>
          </w:tcPr>
          <w:p w14:paraId="684CEB3E"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69E98A67"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F6F8C4D"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5663B9E"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2E09E77A"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Zbatimi jo i duhur i procedurave të brendshme të Agjencisë</w:t>
            </w:r>
          </w:p>
          <w:p w14:paraId="4D020D4F" w14:textId="77777777" w:rsidR="00B20959" w:rsidRPr="00223692" w:rsidRDefault="00B20959" w:rsidP="00660C61">
            <w:pPr>
              <w:spacing w:after="0" w:line="240" w:lineRule="auto"/>
              <w:rPr>
                <w:rFonts w:ascii="Arial" w:eastAsia="Times New Roman" w:hAnsi="Arial" w:cs="Arial"/>
                <w:b/>
                <w:i/>
                <w:sz w:val="18"/>
                <w:szCs w:val="18"/>
                <w:lang w:val="mk-MK"/>
              </w:rPr>
            </w:pPr>
          </w:p>
        </w:tc>
        <w:tc>
          <w:tcPr>
            <w:tcW w:w="2505" w:type="dxa"/>
            <w:tcBorders>
              <w:top w:val="single" w:sz="4" w:space="0" w:color="000000"/>
              <w:left w:val="single" w:sz="4" w:space="0" w:color="000000"/>
              <w:bottom w:val="single" w:sz="4" w:space="0" w:color="000000"/>
              <w:right w:val="single" w:sz="4" w:space="0" w:color="000000"/>
            </w:tcBorders>
          </w:tcPr>
          <w:p w14:paraId="62C56F4E" w14:textId="77777777" w:rsidR="00BB7FA3" w:rsidRPr="00223692" w:rsidRDefault="00BB7FA3" w:rsidP="00660C61">
            <w:pPr>
              <w:spacing w:after="0" w:line="240" w:lineRule="auto"/>
              <w:jc w:val="center"/>
              <w:rPr>
                <w:rFonts w:ascii="Arial" w:eastAsia="Times New Roman" w:hAnsi="Arial" w:cs="Arial"/>
                <w:sz w:val="18"/>
                <w:szCs w:val="18"/>
                <w:lang w:val="mk-MK"/>
              </w:rPr>
            </w:pPr>
          </w:p>
          <w:p w14:paraId="4B4BFAD9" w14:textId="77777777" w:rsidR="00BB7FA3" w:rsidRPr="00223692" w:rsidRDefault="00BB7FA3" w:rsidP="00660C61">
            <w:pPr>
              <w:spacing w:after="0" w:line="240" w:lineRule="auto"/>
              <w:jc w:val="center"/>
              <w:rPr>
                <w:rFonts w:ascii="Arial" w:eastAsia="Times New Roman" w:hAnsi="Arial" w:cs="Arial"/>
                <w:sz w:val="18"/>
                <w:szCs w:val="18"/>
                <w:lang w:val="mk-MK"/>
              </w:rPr>
            </w:pPr>
          </w:p>
          <w:p w14:paraId="3CE325CF"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Zbatimi konsistent i procedurave për proceset e punës në Agjenci në përputhje me certifikimin</w:t>
            </w:r>
          </w:p>
          <w:p w14:paraId="712E3AE8" w14:textId="77777777" w:rsidR="00B20959" w:rsidRPr="00223692" w:rsidRDefault="00B20959" w:rsidP="00660C61">
            <w:pPr>
              <w:spacing w:after="0" w:line="240" w:lineRule="auto"/>
              <w:rPr>
                <w:rFonts w:ascii="Arial" w:eastAsia="Times New Roman" w:hAnsi="Arial" w:cs="Arial"/>
                <w:sz w:val="18"/>
                <w:szCs w:val="18"/>
                <w:lang w:val="mk-MK"/>
              </w:rPr>
            </w:pPr>
            <w:r w:rsidRPr="00223692">
              <w:rPr>
                <w:rFonts w:ascii="Arial" w:eastAsia="Times New Roman" w:hAnsi="Arial" w:cs="Arial"/>
                <w:sz w:val="18"/>
                <w:szCs w:val="18"/>
              </w:rPr>
              <w:t xml:space="preserve">     </w:t>
            </w:r>
            <w:r w:rsidR="00BB7FA3" w:rsidRPr="00223692">
              <w:rPr>
                <w:rFonts w:ascii="Arial" w:eastAsia="Times New Roman" w:hAnsi="Arial" w:cs="Arial"/>
                <w:sz w:val="18"/>
                <w:szCs w:val="18"/>
                <w:lang w:val="mk-MK"/>
              </w:rPr>
              <w:t>ISO 9001:2015</w:t>
            </w:r>
          </w:p>
        </w:tc>
        <w:tc>
          <w:tcPr>
            <w:tcW w:w="1995" w:type="dxa"/>
            <w:shd w:val="clear" w:color="auto" w:fill="FFFFFF" w:themeFill="background1"/>
          </w:tcPr>
          <w:p w14:paraId="4BD70553" w14:textId="77777777" w:rsidR="00B20959" w:rsidRDefault="00B20959" w:rsidP="00660C61">
            <w:pPr>
              <w:spacing w:after="0" w:line="240" w:lineRule="auto"/>
              <w:jc w:val="center"/>
              <w:rPr>
                <w:rFonts w:ascii="Arial" w:hAnsi="Arial" w:cs="Arial"/>
                <w:sz w:val="18"/>
                <w:szCs w:val="18"/>
                <w:lang w:val="mk-MK"/>
              </w:rPr>
            </w:pPr>
            <w:r w:rsidRPr="00223692">
              <w:rPr>
                <w:rFonts w:ascii="Arial" w:eastAsia="Times New Roman" w:hAnsi="Arial" w:cs="Arial"/>
                <w:sz w:val="18"/>
                <w:szCs w:val="18"/>
                <w:lang w:val="mk-MK"/>
              </w:rPr>
              <w:t>Verifikimi i përputhshmërisë me procedurat nga auditorët e brendshëm</w:t>
            </w:r>
            <w:r w:rsidR="009B45B2" w:rsidRPr="00223692">
              <w:rPr>
                <w:rFonts w:ascii="Arial" w:hAnsi="Arial" w:cs="Arial"/>
              </w:rPr>
              <w:t xml:space="preserve"> </w:t>
            </w:r>
            <w:r w:rsidR="009B45B2" w:rsidRPr="00223692">
              <w:rPr>
                <w:rFonts w:ascii="Arial" w:hAnsi="Arial" w:cs="Arial"/>
                <w:sz w:val="18"/>
                <w:szCs w:val="18"/>
                <w:lang w:val="mk-MK"/>
              </w:rPr>
              <w:t xml:space="preserve">dhe </w:t>
            </w:r>
            <w:r w:rsidR="009B45B2" w:rsidRPr="00223692">
              <w:rPr>
                <w:rFonts w:ascii="Arial" w:hAnsi="Arial" w:cs="Arial"/>
                <w:sz w:val="18"/>
                <w:szCs w:val="18"/>
              </w:rPr>
              <w:t xml:space="preserve">damë në </w:t>
            </w:r>
            <w:r w:rsidR="009B45B2" w:rsidRPr="00223692">
              <w:rPr>
                <w:rFonts w:ascii="Arial" w:hAnsi="Arial" w:cs="Arial"/>
                <w:sz w:val="18"/>
                <w:szCs w:val="18"/>
                <w:lang w:val="mk-MK"/>
              </w:rPr>
              <w:t xml:space="preserve">dhe </w:t>
            </w:r>
            <w:r w:rsidR="009B45B2" w:rsidRPr="00223692">
              <w:rPr>
                <w:rFonts w:ascii="Arial" w:hAnsi="Arial" w:cs="Arial"/>
                <w:sz w:val="18"/>
                <w:szCs w:val="18"/>
              </w:rPr>
              <w:t xml:space="preserve">kredituar </w:t>
            </w:r>
            <w:r w:rsidR="009B45B2" w:rsidRPr="00223692">
              <w:rPr>
                <w:rFonts w:ascii="Arial" w:hAnsi="Arial" w:cs="Arial"/>
                <w:sz w:val="18"/>
                <w:szCs w:val="18"/>
                <w:lang w:val="mk-MK"/>
              </w:rPr>
              <w:t>certifikimit</w:t>
            </w:r>
            <w:r w:rsidR="009B45B2" w:rsidRPr="00223692">
              <w:rPr>
                <w:rFonts w:ascii="Arial" w:hAnsi="Arial" w:cs="Arial"/>
                <w:sz w:val="18"/>
                <w:szCs w:val="18"/>
              </w:rPr>
              <w:t xml:space="preserve"> trupi</w:t>
            </w:r>
          </w:p>
          <w:p w14:paraId="1596C5C7" w14:textId="77777777" w:rsidR="00977EEE" w:rsidRPr="00977EEE" w:rsidRDefault="00977EEE" w:rsidP="00660C61">
            <w:pPr>
              <w:spacing w:after="0" w:line="240" w:lineRule="auto"/>
              <w:jc w:val="center"/>
              <w:rPr>
                <w:rFonts w:ascii="Arial" w:eastAsia="Times New Roman" w:hAnsi="Arial" w:cs="Arial"/>
                <w:b/>
                <w:i/>
                <w:sz w:val="18"/>
                <w:szCs w:val="18"/>
                <w:lang w:val="mk-MK"/>
              </w:rPr>
            </w:pPr>
          </w:p>
        </w:tc>
        <w:tc>
          <w:tcPr>
            <w:tcW w:w="3599" w:type="dxa"/>
            <w:tcBorders>
              <w:top w:val="single" w:sz="4" w:space="0" w:color="000000"/>
              <w:left w:val="single" w:sz="4" w:space="0" w:color="000000"/>
              <w:bottom w:val="single" w:sz="4" w:space="0" w:color="000000"/>
              <w:right w:val="single" w:sz="4" w:space="0" w:color="000000"/>
            </w:tcBorders>
          </w:tcPr>
          <w:p w14:paraId="542E218F"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08CA429E" w14:textId="77777777" w:rsidR="00B20959" w:rsidRPr="00223692" w:rsidRDefault="00B20959" w:rsidP="00660C61">
            <w:pPr>
              <w:spacing w:after="0" w:line="240" w:lineRule="auto"/>
              <w:rPr>
                <w:rFonts w:ascii="Arial" w:eastAsia="Times New Roman" w:hAnsi="Arial" w:cs="Arial"/>
                <w:sz w:val="18"/>
                <w:szCs w:val="18"/>
                <w:lang w:val="mk-MK"/>
              </w:rPr>
            </w:pPr>
          </w:p>
          <w:p w14:paraId="526A6ECE"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5829B2A5"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Personat e autorizuar për inspektim të brendshëm</w:t>
            </w:r>
          </w:p>
          <w:p w14:paraId="52B74DAA" w14:textId="77777777" w:rsidR="009B45B2" w:rsidRPr="00223692" w:rsidRDefault="009B45B2" w:rsidP="009B45B2">
            <w:pPr>
              <w:spacing w:after="0" w:line="240" w:lineRule="auto"/>
              <w:rPr>
                <w:rFonts w:ascii="Arial" w:eastAsia="Times New Roman" w:hAnsi="Arial" w:cs="Arial"/>
                <w:sz w:val="18"/>
                <w:szCs w:val="18"/>
                <w:lang w:val="mk-MK"/>
              </w:rPr>
            </w:pPr>
          </w:p>
          <w:p w14:paraId="5D2B57E9" w14:textId="77777777" w:rsidR="009B45B2" w:rsidRPr="00223692" w:rsidRDefault="009B45B2" w:rsidP="009B45B2">
            <w:pPr>
              <w:spacing w:after="0" w:line="240" w:lineRule="auto"/>
              <w:jc w:val="center"/>
              <w:rPr>
                <w:rFonts w:ascii="Arial" w:eastAsia="Times New Roman" w:hAnsi="Arial" w:cs="Arial"/>
                <w:sz w:val="18"/>
                <w:szCs w:val="18"/>
              </w:rPr>
            </w:pPr>
            <w:r w:rsidRPr="00223692">
              <w:rPr>
                <w:rFonts w:ascii="Arial" w:eastAsia="Times New Roman" w:hAnsi="Arial" w:cs="Arial"/>
                <w:sz w:val="18"/>
                <w:szCs w:val="18"/>
                <w:lang w:val="mk-MK"/>
              </w:rPr>
              <w:t xml:space="preserve">Persona të autorizuar </w:t>
            </w:r>
            <w:r w:rsidRPr="00223692">
              <w:rPr>
                <w:rFonts w:ascii="Arial" w:hAnsi="Arial" w:cs="Arial"/>
                <w:sz w:val="18"/>
                <w:szCs w:val="18"/>
                <w:lang w:val="mk-MK"/>
              </w:rPr>
              <w:t xml:space="preserve">nga një </w:t>
            </w:r>
            <w:r w:rsidRPr="00223692">
              <w:rPr>
                <w:rFonts w:ascii="Arial" w:hAnsi="Arial" w:cs="Arial"/>
                <w:sz w:val="18"/>
                <w:szCs w:val="18"/>
              </w:rPr>
              <w:t xml:space="preserve">kredituar </w:t>
            </w:r>
            <w:r w:rsidRPr="00223692">
              <w:rPr>
                <w:rFonts w:ascii="Arial" w:hAnsi="Arial" w:cs="Arial"/>
                <w:sz w:val="18"/>
                <w:szCs w:val="18"/>
                <w:lang w:val="mk-MK"/>
              </w:rPr>
              <w:t>certifikimit</w:t>
            </w:r>
            <w:r w:rsidRPr="00223692">
              <w:rPr>
                <w:rFonts w:ascii="Arial" w:hAnsi="Arial" w:cs="Arial"/>
                <w:sz w:val="18"/>
                <w:szCs w:val="18"/>
              </w:rPr>
              <w:t xml:space="preserve"> trupi</w:t>
            </w:r>
          </w:p>
        </w:tc>
        <w:tc>
          <w:tcPr>
            <w:tcW w:w="1440" w:type="dxa"/>
            <w:tcBorders>
              <w:top w:val="single" w:sz="4" w:space="0" w:color="000000"/>
              <w:left w:val="single" w:sz="4" w:space="0" w:color="000000"/>
              <w:bottom w:val="single" w:sz="4" w:space="0" w:color="000000"/>
              <w:right w:val="single" w:sz="4" w:space="0" w:color="000000"/>
            </w:tcBorders>
          </w:tcPr>
          <w:p w14:paraId="62D867B9"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23101B7F"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BFB9135"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CFE6F54" w14:textId="77777777" w:rsidR="00B20959" w:rsidRPr="00223692" w:rsidRDefault="00EC6E30" w:rsidP="00660C61">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vazhdimisht</w:t>
            </w:r>
          </w:p>
        </w:tc>
        <w:tc>
          <w:tcPr>
            <w:tcW w:w="1350" w:type="dxa"/>
            <w:tcBorders>
              <w:top w:val="single" w:sz="4" w:space="0" w:color="000000"/>
              <w:left w:val="single" w:sz="4" w:space="0" w:color="000000"/>
              <w:bottom w:val="single" w:sz="4" w:space="0" w:color="000000"/>
              <w:right w:val="single" w:sz="4" w:space="0" w:color="000000"/>
            </w:tcBorders>
          </w:tcPr>
          <w:p w14:paraId="0801B187"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44042A83"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6EDFAC58"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15E3941F" w14:textId="77777777" w:rsidR="00B20959" w:rsidRPr="00223692" w:rsidRDefault="004C0111"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nuk ka</w:t>
            </w:r>
          </w:p>
          <w:p w14:paraId="56B62F52" w14:textId="77777777" w:rsidR="00B20959" w:rsidRPr="00223692" w:rsidRDefault="00B20959" w:rsidP="00660C61">
            <w:pPr>
              <w:spacing w:after="0" w:line="240" w:lineRule="auto"/>
              <w:rPr>
                <w:rFonts w:ascii="Arial" w:eastAsia="Times New Roman" w:hAnsi="Arial" w:cs="Arial"/>
                <w:sz w:val="18"/>
                <w:szCs w:val="18"/>
                <w:lang w:val="mk-MK"/>
              </w:rPr>
            </w:pPr>
          </w:p>
        </w:tc>
        <w:tc>
          <w:tcPr>
            <w:tcW w:w="1350" w:type="dxa"/>
            <w:tcBorders>
              <w:top w:val="single" w:sz="4" w:space="0" w:color="000000"/>
              <w:left w:val="single" w:sz="4" w:space="0" w:color="000000"/>
              <w:bottom w:val="single" w:sz="4" w:space="0" w:color="000000"/>
              <w:right w:val="single" w:sz="4" w:space="0" w:color="000000"/>
            </w:tcBorders>
          </w:tcPr>
          <w:p w14:paraId="26423043"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54423B27"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0BE42595"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4A827382" w14:textId="77777777" w:rsidR="00B20959" w:rsidRPr="00223692" w:rsidRDefault="004C0111" w:rsidP="00660C61">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të kontrolluara</w:t>
            </w:r>
          </w:p>
        </w:tc>
      </w:tr>
      <w:tr w:rsidR="00223692" w:rsidRPr="00223692" w14:paraId="1AF19FA2" w14:textId="77777777" w:rsidTr="00102198">
        <w:trPr>
          <w:trHeight w:val="620"/>
        </w:trPr>
        <w:tc>
          <w:tcPr>
            <w:tcW w:w="1786" w:type="dxa"/>
            <w:vMerge/>
            <w:shd w:val="clear" w:color="auto" w:fill="FFFFFF" w:themeFill="background1"/>
          </w:tcPr>
          <w:p w14:paraId="61408D02" w14:textId="77777777" w:rsidR="00B20959" w:rsidRPr="00223692" w:rsidRDefault="00B20959" w:rsidP="00660C61">
            <w:pPr>
              <w:spacing w:after="0" w:line="240" w:lineRule="auto"/>
              <w:jc w:val="center"/>
              <w:rPr>
                <w:rFonts w:ascii="Arial" w:eastAsia="Times New Roman" w:hAnsi="Arial" w:cs="Arial"/>
                <w:sz w:val="18"/>
                <w:szCs w:val="18"/>
                <w:lang w:val="mk-MK"/>
              </w:rPr>
            </w:pPr>
          </w:p>
        </w:tc>
        <w:tc>
          <w:tcPr>
            <w:tcW w:w="2505" w:type="dxa"/>
            <w:tcBorders>
              <w:top w:val="single" w:sz="4" w:space="0" w:color="000000"/>
              <w:left w:val="single" w:sz="4" w:space="0" w:color="000000"/>
              <w:right w:val="single" w:sz="4" w:space="0" w:color="000000"/>
            </w:tcBorders>
          </w:tcPr>
          <w:p w14:paraId="046E60D8" w14:textId="77777777" w:rsidR="00CA37FC" w:rsidRPr="00223692" w:rsidRDefault="00B20959" w:rsidP="009F2804">
            <w:pPr>
              <w:spacing w:after="0" w:line="240" w:lineRule="auto"/>
              <w:jc w:val="center"/>
              <w:rPr>
                <w:rFonts w:ascii="Arial" w:eastAsia="Times New Roman" w:hAnsi="Arial" w:cs="Arial"/>
                <w:sz w:val="18"/>
                <w:szCs w:val="18"/>
                <w:lang w:val="sq-AL"/>
              </w:rPr>
            </w:pPr>
            <w:r w:rsidRPr="00223692">
              <w:rPr>
                <w:rFonts w:ascii="Arial" w:eastAsia="Times New Roman" w:hAnsi="Arial" w:cs="Arial"/>
                <w:sz w:val="18"/>
                <w:szCs w:val="18"/>
                <w:lang w:val="mk-MK"/>
              </w:rPr>
              <w:t xml:space="preserve">Garantimi i sigurisë dhe sigurisë së dokumenteve dhe parandalimi i aksesit të paautorizuar në to, gjatë përdorimit të përditshëm të Sistemit të Automatizuar të Menaxhimit të Dokumenteve </w:t>
            </w:r>
            <w:r w:rsidR="00BB7FA3" w:rsidRPr="00223692">
              <w:rPr>
                <w:rFonts w:ascii="Arial" w:eastAsia="Times New Roman" w:hAnsi="Arial" w:cs="Arial"/>
                <w:sz w:val="18"/>
                <w:szCs w:val="18"/>
                <w:lang w:val="sq-AL"/>
              </w:rPr>
              <w:t>(DMS)</w:t>
            </w:r>
          </w:p>
        </w:tc>
        <w:tc>
          <w:tcPr>
            <w:tcW w:w="1995" w:type="dxa"/>
            <w:shd w:val="clear" w:color="auto" w:fill="FFFFFF" w:themeFill="background1"/>
          </w:tcPr>
          <w:p w14:paraId="1985ED27"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41E7AADD"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Mirëmbajtja e rregullt e sistemit të menaxhimit të dokumenteve</w:t>
            </w:r>
          </w:p>
          <w:p w14:paraId="6F92B4E0" w14:textId="77777777" w:rsidR="00B20959" w:rsidRPr="00223692" w:rsidRDefault="00B20959" w:rsidP="00660C61">
            <w:pPr>
              <w:spacing w:after="0" w:line="240" w:lineRule="auto"/>
              <w:jc w:val="center"/>
              <w:rPr>
                <w:rFonts w:ascii="Arial" w:eastAsia="Times New Roman" w:hAnsi="Arial" w:cs="Arial"/>
                <w:b/>
                <w:i/>
                <w:sz w:val="18"/>
                <w:szCs w:val="18"/>
                <w:lang w:val="mk-MK"/>
              </w:rPr>
            </w:pPr>
          </w:p>
        </w:tc>
        <w:tc>
          <w:tcPr>
            <w:tcW w:w="3599" w:type="dxa"/>
            <w:tcBorders>
              <w:top w:val="single" w:sz="4" w:space="0" w:color="000000"/>
              <w:left w:val="single" w:sz="4" w:space="0" w:color="000000"/>
              <w:right w:val="single" w:sz="4" w:space="0" w:color="000000"/>
            </w:tcBorders>
          </w:tcPr>
          <w:p w14:paraId="6A31F859" w14:textId="77777777" w:rsidR="00B20959" w:rsidRPr="00223692" w:rsidRDefault="00B20959" w:rsidP="00660C61">
            <w:pPr>
              <w:spacing w:after="0" w:line="240" w:lineRule="auto"/>
              <w:rPr>
                <w:rFonts w:ascii="Arial" w:eastAsia="Times New Roman" w:hAnsi="Arial" w:cs="Arial"/>
                <w:sz w:val="18"/>
                <w:szCs w:val="18"/>
                <w:lang w:val="mk-MK"/>
              </w:rPr>
            </w:pPr>
          </w:p>
          <w:p w14:paraId="1A115BA8" w14:textId="77777777" w:rsidR="00B20959" w:rsidRPr="00223692" w:rsidRDefault="00B20959" w:rsidP="00C07D43">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Sektori për Mbështetjen e Informacionit dhe Çështjet e Përgjithshme</w:t>
            </w:r>
          </w:p>
          <w:p w14:paraId="26F5F009" w14:textId="77777777" w:rsidR="00E622A0" w:rsidRPr="00223692" w:rsidRDefault="00B20959" w:rsidP="00C07D43">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Departamenti i Mbështetjes së Informacionit dhe Teknologjive</w:t>
            </w:r>
          </w:p>
          <w:p w14:paraId="44063EFE" w14:textId="77777777" w:rsidR="00E622A0" w:rsidRPr="00223692" w:rsidRDefault="00E622A0" w:rsidP="00E622A0">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të gjitha njësitë organizative/drejtori/</w:t>
            </w:r>
          </w:p>
          <w:p w14:paraId="3EAB792E" w14:textId="77777777" w:rsidR="00E622A0" w:rsidRPr="00223692" w:rsidRDefault="00E622A0" w:rsidP="00E622A0">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Kryetari i Këshillit</w:t>
            </w:r>
          </w:p>
        </w:tc>
        <w:tc>
          <w:tcPr>
            <w:tcW w:w="1440" w:type="dxa"/>
            <w:tcBorders>
              <w:top w:val="single" w:sz="4" w:space="0" w:color="000000"/>
              <w:left w:val="single" w:sz="4" w:space="0" w:color="000000"/>
              <w:right w:val="single" w:sz="4" w:space="0" w:color="000000"/>
            </w:tcBorders>
          </w:tcPr>
          <w:p w14:paraId="5354AA8F"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72200969" w14:textId="77777777" w:rsidR="00B20959" w:rsidRPr="00223692" w:rsidRDefault="00B20959" w:rsidP="00660C61">
            <w:pPr>
              <w:spacing w:after="0" w:line="240" w:lineRule="auto"/>
              <w:rPr>
                <w:rFonts w:ascii="Arial" w:eastAsia="Times New Roman" w:hAnsi="Arial" w:cs="Arial"/>
                <w:sz w:val="18"/>
                <w:szCs w:val="18"/>
                <w:lang w:val="mk-MK"/>
              </w:rPr>
            </w:pPr>
          </w:p>
          <w:p w14:paraId="5215FCB3" w14:textId="77777777" w:rsidR="00B20959" w:rsidRPr="00223692" w:rsidRDefault="00EC6E30" w:rsidP="00EC6E30">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vazhdimisht</w:t>
            </w:r>
          </w:p>
        </w:tc>
        <w:tc>
          <w:tcPr>
            <w:tcW w:w="1350" w:type="dxa"/>
            <w:tcBorders>
              <w:top w:val="single" w:sz="4" w:space="0" w:color="000000"/>
              <w:left w:val="single" w:sz="4" w:space="0" w:color="000000"/>
              <w:right w:val="single" w:sz="4" w:space="0" w:color="000000"/>
            </w:tcBorders>
          </w:tcPr>
          <w:p w14:paraId="308C4D19"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11768B68" w14:textId="77777777" w:rsidR="00B20959" w:rsidRPr="00223692" w:rsidRDefault="00B20959" w:rsidP="00660C61">
            <w:pPr>
              <w:spacing w:after="0" w:line="240" w:lineRule="auto"/>
              <w:rPr>
                <w:rFonts w:ascii="Arial" w:eastAsia="Times New Roman" w:hAnsi="Arial" w:cs="Arial"/>
                <w:sz w:val="18"/>
                <w:szCs w:val="18"/>
                <w:lang w:val="mk-MK"/>
              </w:rPr>
            </w:pPr>
          </w:p>
          <w:p w14:paraId="0BCEC7A9" w14:textId="77777777" w:rsidR="00B20959" w:rsidRPr="00223692" w:rsidRDefault="004C0111" w:rsidP="00EC6E30">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ka</w:t>
            </w:r>
          </w:p>
        </w:tc>
        <w:tc>
          <w:tcPr>
            <w:tcW w:w="1350" w:type="dxa"/>
            <w:tcBorders>
              <w:top w:val="single" w:sz="4" w:space="0" w:color="000000"/>
              <w:left w:val="single" w:sz="4" w:space="0" w:color="000000"/>
              <w:right w:val="single" w:sz="4" w:space="0" w:color="000000"/>
            </w:tcBorders>
          </w:tcPr>
          <w:p w14:paraId="16CE5EB0"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06133393"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29AE3345" w14:textId="77777777" w:rsidR="00B20959" w:rsidRPr="00223692" w:rsidRDefault="004C0111" w:rsidP="00660C61">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të kontrolluara</w:t>
            </w:r>
          </w:p>
        </w:tc>
      </w:tr>
      <w:tr w:rsidR="00223692" w:rsidRPr="00223692" w14:paraId="71DB0E6F" w14:textId="77777777" w:rsidTr="00660C61">
        <w:trPr>
          <w:trHeight w:val="1655"/>
        </w:trPr>
        <w:tc>
          <w:tcPr>
            <w:tcW w:w="1786" w:type="dxa"/>
            <w:vMerge w:val="restart"/>
            <w:shd w:val="clear" w:color="auto" w:fill="FFFFFF" w:themeFill="background1"/>
          </w:tcPr>
          <w:p w14:paraId="4285BADB"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1F5E3575" w14:textId="77777777" w:rsidR="00FA6159" w:rsidRDefault="00FA6159" w:rsidP="001C2AD2">
            <w:pPr>
              <w:spacing w:after="0" w:line="240" w:lineRule="auto"/>
              <w:jc w:val="center"/>
              <w:rPr>
                <w:rFonts w:ascii="Arial" w:eastAsia="Times New Roman" w:hAnsi="Arial" w:cs="Arial"/>
                <w:sz w:val="18"/>
                <w:szCs w:val="18"/>
                <w:lang w:val="mk-MK"/>
              </w:rPr>
            </w:pPr>
          </w:p>
          <w:p w14:paraId="7C35916F" w14:textId="77777777" w:rsidR="00FA6159" w:rsidRDefault="00FA6159" w:rsidP="001C2AD2">
            <w:pPr>
              <w:spacing w:after="0" w:line="240" w:lineRule="auto"/>
              <w:jc w:val="center"/>
              <w:rPr>
                <w:rFonts w:ascii="Arial" w:eastAsia="Times New Roman" w:hAnsi="Arial" w:cs="Arial"/>
                <w:sz w:val="18"/>
                <w:szCs w:val="18"/>
                <w:lang w:val="mk-MK"/>
              </w:rPr>
            </w:pPr>
          </w:p>
          <w:p w14:paraId="2E19378D" w14:textId="77777777" w:rsidR="00FA6159" w:rsidRDefault="00FA6159" w:rsidP="001C2AD2">
            <w:pPr>
              <w:spacing w:after="0" w:line="240" w:lineRule="auto"/>
              <w:jc w:val="center"/>
              <w:rPr>
                <w:rFonts w:ascii="Arial" w:eastAsia="Times New Roman" w:hAnsi="Arial" w:cs="Arial"/>
                <w:sz w:val="18"/>
                <w:szCs w:val="18"/>
                <w:lang w:val="mk-MK"/>
              </w:rPr>
            </w:pPr>
          </w:p>
          <w:p w14:paraId="1874E92D" w14:textId="77777777" w:rsidR="00FA6159" w:rsidRDefault="00FA6159" w:rsidP="001C2AD2">
            <w:pPr>
              <w:spacing w:after="0" w:line="240" w:lineRule="auto"/>
              <w:jc w:val="center"/>
              <w:rPr>
                <w:rFonts w:ascii="Arial" w:eastAsia="Times New Roman" w:hAnsi="Arial" w:cs="Arial"/>
                <w:sz w:val="18"/>
                <w:szCs w:val="18"/>
                <w:lang w:val="mk-MK"/>
              </w:rPr>
            </w:pPr>
          </w:p>
          <w:p w14:paraId="58222BBA" w14:textId="77777777" w:rsidR="00FA6159" w:rsidRDefault="00FA6159" w:rsidP="001C2AD2">
            <w:pPr>
              <w:spacing w:after="0" w:line="240" w:lineRule="auto"/>
              <w:jc w:val="center"/>
              <w:rPr>
                <w:rFonts w:ascii="Arial" w:eastAsia="Times New Roman" w:hAnsi="Arial" w:cs="Arial"/>
                <w:sz w:val="18"/>
                <w:szCs w:val="18"/>
                <w:lang w:val="mk-MK"/>
              </w:rPr>
            </w:pPr>
          </w:p>
          <w:p w14:paraId="31F46A3E" w14:textId="77777777" w:rsidR="00B20959" w:rsidRPr="00223692" w:rsidRDefault="00B20959" w:rsidP="001C2AD2">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Zbatimi jo i duhur i rregulloreve ligjore për mbrojtjen e të dhënave personale</w:t>
            </w:r>
          </w:p>
        </w:tc>
        <w:tc>
          <w:tcPr>
            <w:tcW w:w="2505" w:type="dxa"/>
            <w:vMerge w:val="restart"/>
            <w:tcBorders>
              <w:top w:val="single" w:sz="4" w:space="0" w:color="000000"/>
              <w:left w:val="single" w:sz="4" w:space="0" w:color="000000"/>
              <w:right w:val="single" w:sz="4" w:space="0" w:color="000000"/>
            </w:tcBorders>
          </w:tcPr>
          <w:p w14:paraId="089CA70A"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7CC0EE4A" w14:textId="77777777" w:rsidR="00B20959" w:rsidRPr="00223692" w:rsidRDefault="00B20959" w:rsidP="00C07D43">
            <w:pPr>
              <w:spacing w:after="0" w:line="240" w:lineRule="auto"/>
              <w:rPr>
                <w:rFonts w:ascii="Arial" w:eastAsia="Times New Roman" w:hAnsi="Arial" w:cs="Arial"/>
                <w:sz w:val="18"/>
                <w:szCs w:val="18"/>
                <w:lang w:val="mk-MK"/>
              </w:rPr>
            </w:pPr>
          </w:p>
          <w:p w14:paraId="10828DEA" w14:textId="77777777" w:rsidR="00C07D43" w:rsidRPr="00223692" w:rsidRDefault="00C07D43" w:rsidP="00660C61">
            <w:pPr>
              <w:spacing w:after="0" w:line="240" w:lineRule="auto"/>
              <w:jc w:val="center"/>
              <w:rPr>
                <w:rFonts w:ascii="Arial" w:eastAsia="Times New Roman" w:hAnsi="Arial" w:cs="Arial"/>
                <w:sz w:val="18"/>
                <w:szCs w:val="18"/>
                <w:lang w:val="mk-MK"/>
              </w:rPr>
            </w:pPr>
          </w:p>
          <w:p w14:paraId="7B8AF563" w14:textId="77777777" w:rsidR="00C07D43" w:rsidRPr="00223692" w:rsidRDefault="00C07D43" w:rsidP="00660C61">
            <w:pPr>
              <w:spacing w:after="0" w:line="240" w:lineRule="auto"/>
              <w:jc w:val="center"/>
              <w:rPr>
                <w:rFonts w:ascii="Arial" w:eastAsia="Times New Roman" w:hAnsi="Arial" w:cs="Arial"/>
                <w:sz w:val="18"/>
                <w:szCs w:val="18"/>
                <w:lang w:val="mk-MK"/>
              </w:rPr>
            </w:pPr>
          </w:p>
          <w:p w14:paraId="1CF4DDB0" w14:textId="77777777" w:rsidR="00FA6159" w:rsidRDefault="00FA6159" w:rsidP="00660C61">
            <w:pPr>
              <w:spacing w:after="0" w:line="240" w:lineRule="auto"/>
              <w:jc w:val="center"/>
              <w:rPr>
                <w:rFonts w:ascii="Arial" w:eastAsia="Times New Roman" w:hAnsi="Arial" w:cs="Arial"/>
                <w:sz w:val="18"/>
                <w:szCs w:val="18"/>
                <w:lang w:val="mk-MK"/>
              </w:rPr>
            </w:pPr>
          </w:p>
          <w:p w14:paraId="78E97330" w14:textId="77777777" w:rsidR="00FA6159" w:rsidRDefault="00FA6159" w:rsidP="00660C61">
            <w:pPr>
              <w:spacing w:after="0" w:line="240" w:lineRule="auto"/>
              <w:jc w:val="center"/>
              <w:rPr>
                <w:rFonts w:ascii="Arial" w:eastAsia="Times New Roman" w:hAnsi="Arial" w:cs="Arial"/>
                <w:sz w:val="18"/>
                <w:szCs w:val="18"/>
                <w:lang w:val="mk-MK"/>
              </w:rPr>
            </w:pPr>
          </w:p>
          <w:p w14:paraId="2EF4F8DE" w14:textId="77777777" w:rsidR="00FA6159" w:rsidRDefault="00FA6159" w:rsidP="00660C61">
            <w:pPr>
              <w:spacing w:after="0" w:line="240" w:lineRule="auto"/>
              <w:jc w:val="center"/>
              <w:rPr>
                <w:rFonts w:ascii="Arial" w:eastAsia="Times New Roman" w:hAnsi="Arial" w:cs="Arial"/>
                <w:sz w:val="18"/>
                <w:szCs w:val="18"/>
                <w:lang w:val="mk-MK"/>
              </w:rPr>
            </w:pPr>
          </w:p>
          <w:p w14:paraId="06FC1D04" w14:textId="77777777" w:rsidR="00FA6159" w:rsidRDefault="00FA6159" w:rsidP="00660C61">
            <w:pPr>
              <w:spacing w:after="0" w:line="240" w:lineRule="auto"/>
              <w:jc w:val="center"/>
              <w:rPr>
                <w:rFonts w:ascii="Arial" w:eastAsia="Times New Roman" w:hAnsi="Arial" w:cs="Arial"/>
                <w:sz w:val="18"/>
                <w:szCs w:val="18"/>
                <w:lang w:val="mk-MK"/>
              </w:rPr>
            </w:pPr>
          </w:p>
          <w:p w14:paraId="10F1D70E"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Zbatimi konsekuent i rregulloreve ligjore që rregullojnë këtë çështje</w:t>
            </w:r>
          </w:p>
        </w:tc>
        <w:tc>
          <w:tcPr>
            <w:tcW w:w="1995" w:type="dxa"/>
            <w:shd w:val="clear" w:color="auto" w:fill="FFFFFF" w:themeFill="background1"/>
          </w:tcPr>
          <w:p w14:paraId="28D3FB32" w14:textId="77777777" w:rsidR="00C07D43" w:rsidRPr="00223692" w:rsidRDefault="00B20959" w:rsidP="009F2804">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Verifikimi i respektimit të rregulloreve ligjore nga zyrtarët e emëruar për mbrojtjen e të dhënave personale në Agjenci</w:t>
            </w:r>
          </w:p>
        </w:tc>
        <w:tc>
          <w:tcPr>
            <w:tcW w:w="3599" w:type="dxa"/>
            <w:tcBorders>
              <w:top w:val="single" w:sz="4" w:space="0" w:color="000000"/>
              <w:left w:val="single" w:sz="4" w:space="0" w:color="000000"/>
              <w:right w:val="single" w:sz="4" w:space="0" w:color="000000"/>
            </w:tcBorders>
          </w:tcPr>
          <w:p w14:paraId="67586F19"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46AB0C4A"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2B03568A"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A1BB5F0"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Emërohen zyrtarë për mbrojtjen e të dhënave personale në Agjenci</w:t>
            </w:r>
          </w:p>
        </w:tc>
        <w:tc>
          <w:tcPr>
            <w:tcW w:w="1440" w:type="dxa"/>
            <w:tcBorders>
              <w:top w:val="single" w:sz="4" w:space="0" w:color="000000"/>
              <w:left w:val="single" w:sz="4" w:space="0" w:color="000000"/>
              <w:bottom w:val="single" w:sz="4" w:space="0" w:color="000000"/>
              <w:right w:val="single" w:sz="4" w:space="0" w:color="000000"/>
            </w:tcBorders>
          </w:tcPr>
          <w:p w14:paraId="541F8ECE"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59B64DC6"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41D29612"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46D41505" w14:textId="77777777" w:rsidR="00B20959" w:rsidRPr="00223692" w:rsidRDefault="004C0111" w:rsidP="00660C61">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vazhdimisht</w:t>
            </w:r>
          </w:p>
        </w:tc>
        <w:tc>
          <w:tcPr>
            <w:tcW w:w="1350" w:type="dxa"/>
            <w:tcBorders>
              <w:top w:val="single" w:sz="4" w:space="0" w:color="000000"/>
              <w:left w:val="single" w:sz="4" w:space="0" w:color="000000"/>
              <w:bottom w:val="single" w:sz="4" w:space="0" w:color="000000"/>
              <w:right w:val="single" w:sz="4" w:space="0" w:color="000000"/>
            </w:tcBorders>
          </w:tcPr>
          <w:p w14:paraId="51372A8C"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4C680C82"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4EB4B449"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0575454A" w14:textId="77777777" w:rsidR="00B20959" w:rsidRPr="00223692" w:rsidRDefault="004C0111"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nuk ka</w:t>
            </w:r>
          </w:p>
          <w:p w14:paraId="7EEFE984" w14:textId="77777777" w:rsidR="00B20959" w:rsidRPr="00223692" w:rsidRDefault="00B20959" w:rsidP="00660C61">
            <w:pPr>
              <w:spacing w:after="0" w:line="240" w:lineRule="auto"/>
              <w:rPr>
                <w:rFonts w:ascii="Arial" w:eastAsia="Times New Roman" w:hAnsi="Arial" w:cs="Arial"/>
                <w:sz w:val="18"/>
                <w:szCs w:val="18"/>
                <w:lang w:val="mk-MK"/>
              </w:rPr>
            </w:pPr>
          </w:p>
        </w:tc>
        <w:tc>
          <w:tcPr>
            <w:tcW w:w="1350" w:type="dxa"/>
            <w:tcBorders>
              <w:top w:val="single" w:sz="4" w:space="0" w:color="000000"/>
              <w:left w:val="single" w:sz="4" w:space="0" w:color="000000"/>
              <w:bottom w:val="single" w:sz="4" w:space="0" w:color="000000"/>
              <w:right w:val="single" w:sz="4" w:space="0" w:color="000000"/>
            </w:tcBorders>
          </w:tcPr>
          <w:p w14:paraId="54DE71A6"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74BAE184"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406A7A97"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4FEDD396" w14:textId="77777777" w:rsidR="00B20959" w:rsidRPr="00223692" w:rsidRDefault="004C0111" w:rsidP="00660C61">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të kontrolluara</w:t>
            </w:r>
          </w:p>
        </w:tc>
      </w:tr>
      <w:tr w:rsidR="00223692" w:rsidRPr="00223692" w14:paraId="2F5ADCFA" w14:textId="77777777" w:rsidTr="00660C61">
        <w:trPr>
          <w:trHeight w:val="402"/>
        </w:trPr>
        <w:tc>
          <w:tcPr>
            <w:tcW w:w="1786" w:type="dxa"/>
            <w:vMerge/>
            <w:shd w:val="clear" w:color="auto" w:fill="FFFFFF" w:themeFill="background1"/>
          </w:tcPr>
          <w:p w14:paraId="7BC5BC92" w14:textId="77777777" w:rsidR="00B20959" w:rsidRPr="00223692" w:rsidRDefault="00B20959" w:rsidP="00660C61">
            <w:pPr>
              <w:spacing w:after="0" w:line="240" w:lineRule="auto"/>
              <w:jc w:val="center"/>
              <w:rPr>
                <w:rFonts w:ascii="Arial" w:eastAsia="Times New Roman" w:hAnsi="Arial" w:cs="Arial"/>
                <w:sz w:val="18"/>
                <w:szCs w:val="18"/>
                <w:lang w:val="mk-MK"/>
              </w:rPr>
            </w:pPr>
          </w:p>
        </w:tc>
        <w:tc>
          <w:tcPr>
            <w:tcW w:w="2505" w:type="dxa"/>
            <w:vMerge/>
            <w:tcBorders>
              <w:left w:val="single" w:sz="4" w:space="0" w:color="000000"/>
              <w:right w:val="single" w:sz="4" w:space="0" w:color="000000"/>
            </w:tcBorders>
          </w:tcPr>
          <w:p w14:paraId="6BE01DCE" w14:textId="77777777" w:rsidR="00B20959" w:rsidRPr="00223692" w:rsidRDefault="00B20959" w:rsidP="00660C61">
            <w:pPr>
              <w:spacing w:after="0" w:line="240" w:lineRule="auto"/>
              <w:jc w:val="center"/>
              <w:rPr>
                <w:rFonts w:ascii="Arial" w:eastAsia="Times New Roman" w:hAnsi="Arial" w:cs="Arial"/>
                <w:sz w:val="18"/>
                <w:szCs w:val="18"/>
                <w:lang w:val="mk-MK"/>
              </w:rPr>
            </w:pPr>
          </w:p>
        </w:tc>
        <w:tc>
          <w:tcPr>
            <w:tcW w:w="1995" w:type="dxa"/>
            <w:tcBorders>
              <w:top w:val="single" w:sz="4" w:space="0" w:color="auto"/>
              <w:bottom w:val="single" w:sz="4" w:space="0" w:color="auto"/>
            </w:tcBorders>
            <w:shd w:val="clear" w:color="auto" w:fill="FFFFFF" w:themeFill="background1"/>
          </w:tcPr>
          <w:p w14:paraId="0FE44FEA" w14:textId="77777777" w:rsidR="004C2132" w:rsidRDefault="00B20959" w:rsidP="00EC6E30">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Përmirësimi i njohurive të të gjithë punonjësve në Agjenci për rregulloret ligjore për mbrojtjen e të dhënave personale, përmes shkëmbimit të materialeve nga trajnimet e ndjekura nga zyrtarët e caktuar.</w:t>
            </w:r>
          </w:p>
          <w:p w14:paraId="44DA8306" w14:textId="77777777" w:rsidR="00EC6E30" w:rsidRPr="00223692" w:rsidRDefault="00EC6E30" w:rsidP="00EC6E30">
            <w:pPr>
              <w:spacing w:after="0" w:line="240" w:lineRule="auto"/>
              <w:jc w:val="center"/>
              <w:rPr>
                <w:rFonts w:ascii="Arial" w:eastAsia="Times New Roman" w:hAnsi="Arial" w:cs="Arial"/>
                <w:sz w:val="18"/>
                <w:szCs w:val="18"/>
                <w:lang w:val="mk-MK"/>
              </w:rPr>
            </w:pPr>
          </w:p>
        </w:tc>
        <w:tc>
          <w:tcPr>
            <w:tcW w:w="3599" w:type="dxa"/>
            <w:tcBorders>
              <w:top w:val="single" w:sz="4" w:space="0" w:color="auto"/>
              <w:left w:val="single" w:sz="4" w:space="0" w:color="000000"/>
              <w:right w:val="single" w:sz="4" w:space="0" w:color="000000"/>
            </w:tcBorders>
          </w:tcPr>
          <w:p w14:paraId="0DE14DCE" w14:textId="77777777" w:rsidR="00B70839" w:rsidRPr="00223692" w:rsidRDefault="00B70839" w:rsidP="00660C61">
            <w:pPr>
              <w:spacing w:after="0" w:line="240" w:lineRule="auto"/>
              <w:jc w:val="center"/>
              <w:rPr>
                <w:rFonts w:ascii="Arial" w:eastAsia="Times New Roman" w:hAnsi="Arial" w:cs="Arial"/>
                <w:sz w:val="18"/>
                <w:szCs w:val="18"/>
                <w:lang w:val="mk-MK"/>
              </w:rPr>
            </w:pPr>
          </w:p>
          <w:p w14:paraId="17729C66" w14:textId="77777777" w:rsidR="00B70839" w:rsidRPr="00223692" w:rsidRDefault="00B70839" w:rsidP="00660C61">
            <w:pPr>
              <w:spacing w:after="0" w:line="240" w:lineRule="auto"/>
              <w:jc w:val="center"/>
              <w:rPr>
                <w:rFonts w:ascii="Arial" w:eastAsia="Times New Roman" w:hAnsi="Arial" w:cs="Arial"/>
                <w:sz w:val="18"/>
                <w:szCs w:val="18"/>
                <w:lang w:val="mk-MK"/>
              </w:rPr>
            </w:pPr>
          </w:p>
          <w:p w14:paraId="22E6B040" w14:textId="77777777" w:rsidR="00B70839" w:rsidRPr="00223692" w:rsidRDefault="00B70839" w:rsidP="00660C61">
            <w:pPr>
              <w:spacing w:after="0" w:line="240" w:lineRule="auto"/>
              <w:jc w:val="center"/>
              <w:rPr>
                <w:rFonts w:ascii="Arial" w:eastAsia="Times New Roman" w:hAnsi="Arial" w:cs="Arial"/>
                <w:sz w:val="18"/>
                <w:szCs w:val="18"/>
                <w:lang w:val="mk-MK"/>
              </w:rPr>
            </w:pPr>
          </w:p>
          <w:p w14:paraId="07044DC3" w14:textId="77777777" w:rsidR="00B70839" w:rsidRPr="00223692" w:rsidRDefault="00B70839" w:rsidP="00660C61">
            <w:pPr>
              <w:spacing w:after="0" w:line="240" w:lineRule="auto"/>
              <w:jc w:val="center"/>
              <w:rPr>
                <w:rFonts w:ascii="Arial" w:eastAsia="Times New Roman" w:hAnsi="Arial" w:cs="Arial"/>
                <w:sz w:val="18"/>
                <w:szCs w:val="18"/>
                <w:lang w:val="mk-MK"/>
              </w:rPr>
            </w:pPr>
          </w:p>
          <w:p w14:paraId="4B27E265" w14:textId="77777777" w:rsidR="00C07D43" w:rsidRPr="00223692" w:rsidRDefault="00C07D43" w:rsidP="00660C61">
            <w:pPr>
              <w:spacing w:after="0" w:line="240" w:lineRule="auto"/>
              <w:jc w:val="center"/>
              <w:rPr>
                <w:rFonts w:ascii="Arial" w:eastAsia="Times New Roman" w:hAnsi="Arial" w:cs="Arial"/>
                <w:sz w:val="18"/>
                <w:szCs w:val="18"/>
                <w:lang w:val="mk-MK"/>
              </w:rPr>
            </w:pPr>
          </w:p>
          <w:p w14:paraId="54250B24" w14:textId="77777777" w:rsidR="00C07D43" w:rsidRPr="00223692" w:rsidRDefault="00C07D43" w:rsidP="00660C61">
            <w:pPr>
              <w:spacing w:after="0" w:line="240" w:lineRule="auto"/>
              <w:jc w:val="center"/>
              <w:rPr>
                <w:rFonts w:ascii="Arial" w:eastAsia="Times New Roman" w:hAnsi="Arial" w:cs="Arial"/>
                <w:sz w:val="18"/>
                <w:szCs w:val="18"/>
                <w:lang w:val="mk-MK"/>
              </w:rPr>
            </w:pPr>
          </w:p>
          <w:p w14:paraId="2C2944BD" w14:textId="77777777" w:rsidR="00C07D43" w:rsidRPr="00223692" w:rsidRDefault="00C07D43" w:rsidP="00660C61">
            <w:pPr>
              <w:spacing w:after="0" w:line="240" w:lineRule="auto"/>
              <w:jc w:val="center"/>
              <w:rPr>
                <w:rFonts w:ascii="Arial" w:eastAsia="Times New Roman" w:hAnsi="Arial" w:cs="Arial"/>
                <w:sz w:val="18"/>
                <w:szCs w:val="18"/>
                <w:lang w:val="mk-MK"/>
              </w:rPr>
            </w:pPr>
          </w:p>
          <w:p w14:paraId="463EC646" w14:textId="77777777" w:rsidR="00B20959" w:rsidRPr="00223692" w:rsidRDefault="00075D2B"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Emërohen zyrtarë për mbrojtjen e të dhënave personale në Agjenci</w:t>
            </w:r>
          </w:p>
          <w:p w14:paraId="71494D6F" w14:textId="77777777" w:rsidR="00075D2B" w:rsidRPr="00223692" w:rsidRDefault="00075D2B" w:rsidP="00660C61">
            <w:pPr>
              <w:spacing w:after="0" w:line="240" w:lineRule="auto"/>
              <w:jc w:val="center"/>
              <w:rPr>
                <w:rFonts w:ascii="Arial" w:eastAsia="Times New Roman" w:hAnsi="Arial" w:cs="Arial"/>
                <w:sz w:val="18"/>
                <w:szCs w:val="20"/>
                <w:lang w:val="mk-MK"/>
              </w:rPr>
            </w:pPr>
          </w:p>
          <w:p w14:paraId="242C8BA5" w14:textId="77777777" w:rsidR="00B20959" w:rsidRPr="00223692" w:rsidRDefault="00B20959" w:rsidP="00660C61">
            <w:pPr>
              <w:spacing w:after="0" w:line="240" w:lineRule="auto"/>
              <w:jc w:val="center"/>
              <w:rPr>
                <w:rFonts w:ascii="Arial" w:eastAsia="Times New Roman" w:hAnsi="Arial" w:cs="Arial"/>
                <w:sz w:val="18"/>
                <w:szCs w:val="18"/>
                <w:lang w:val="mk-MK"/>
              </w:rPr>
            </w:pPr>
          </w:p>
        </w:tc>
        <w:tc>
          <w:tcPr>
            <w:tcW w:w="1440" w:type="dxa"/>
            <w:tcBorders>
              <w:top w:val="single" w:sz="4" w:space="0" w:color="000000"/>
              <w:left w:val="single" w:sz="4" w:space="0" w:color="000000"/>
              <w:bottom w:val="single" w:sz="4" w:space="0" w:color="000000"/>
              <w:right w:val="single" w:sz="4" w:space="0" w:color="000000"/>
            </w:tcBorders>
          </w:tcPr>
          <w:p w14:paraId="5BF5F735"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061983ED"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1BE6BC25"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7DCC8EE3" w14:textId="77777777" w:rsidR="00C07D43" w:rsidRPr="00223692" w:rsidRDefault="00C07D43" w:rsidP="00660C61">
            <w:pPr>
              <w:spacing w:after="0" w:line="240" w:lineRule="auto"/>
              <w:rPr>
                <w:rFonts w:ascii="Arial" w:eastAsia="Times New Roman" w:hAnsi="Arial" w:cs="Arial"/>
                <w:sz w:val="18"/>
                <w:szCs w:val="18"/>
                <w:lang w:val="mk-MK"/>
              </w:rPr>
            </w:pPr>
          </w:p>
          <w:p w14:paraId="2B928431" w14:textId="77777777" w:rsidR="00C07D43" w:rsidRPr="00223692" w:rsidRDefault="00C07D43" w:rsidP="00660C61">
            <w:pPr>
              <w:spacing w:after="0" w:line="240" w:lineRule="auto"/>
              <w:rPr>
                <w:rFonts w:ascii="Arial" w:eastAsia="Times New Roman" w:hAnsi="Arial" w:cs="Arial"/>
                <w:sz w:val="18"/>
                <w:szCs w:val="18"/>
                <w:lang w:val="mk-MK"/>
              </w:rPr>
            </w:pPr>
          </w:p>
          <w:p w14:paraId="2EE60AAB" w14:textId="77777777" w:rsidR="00C07D43" w:rsidRPr="00223692" w:rsidRDefault="00C07D43" w:rsidP="00660C61">
            <w:pPr>
              <w:spacing w:after="0" w:line="240" w:lineRule="auto"/>
              <w:rPr>
                <w:rFonts w:ascii="Arial" w:eastAsia="Times New Roman" w:hAnsi="Arial" w:cs="Arial"/>
                <w:sz w:val="18"/>
                <w:szCs w:val="18"/>
                <w:lang w:val="mk-MK"/>
              </w:rPr>
            </w:pPr>
          </w:p>
          <w:p w14:paraId="4A3404CF" w14:textId="77777777" w:rsidR="00C07D43" w:rsidRPr="00223692" w:rsidRDefault="00C07D43" w:rsidP="00660C61">
            <w:pPr>
              <w:spacing w:after="0" w:line="240" w:lineRule="auto"/>
              <w:rPr>
                <w:rFonts w:ascii="Arial" w:eastAsia="Times New Roman" w:hAnsi="Arial" w:cs="Arial"/>
                <w:sz w:val="18"/>
                <w:szCs w:val="18"/>
                <w:lang w:val="mk-MK"/>
              </w:rPr>
            </w:pPr>
          </w:p>
          <w:p w14:paraId="48A94600" w14:textId="77777777" w:rsidR="00B20959" w:rsidRPr="00223692" w:rsidRDefault="004C0111" w:rsidP="00660C61">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vazhdimisht</w:t>
            </w:r>
          </w:p>
        </w:tc>
        <w:tc>
          <w:tcPr>
            <w:tcW w:w="1350" w:type="dxa"/>
            <w:tcBorders>
              <w:top w:val="single" w:sz="4" w:space="0" w:color="000000"/>
              <w:left w:val="single" w:sz="4" w:space="0" w:color="000000"/>
              <w:bottom w:val="single" w:sz="4" w:space="0" w:color="000000"/>
              <w:right w:val="single" w:sz="4" w:space="0" w:color="000000"/>
            </w:tcBorders>
          </w:tcPr>
          <w:p w14:paraId="20EF4ECF"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17AF28C1"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5BB2784"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67E7BDA8" w14:textId="77777777" w:rsidR="00C07D43" w:rsidRPr="00223692" w:rsidRDefault="00C07D43" w:rsidP="00660C61">
            <w:pPr>
              <w:spacing w:after="0" w:line="240" w:lineRule="auto"/>
              <w:jc w:val="center"/>
              <w:rPr>
                <w:rFonts w:ascii="Arial" w:eastAsia="Times New Roman" w:hAnsi="Arial" w:cs="Arial"/>
                <w:sz w:val="18"/>
                <w:szCs w:val="18"/>
                <w:lang w:val="mk-MK"/>
              </w:rPr>
            </w:pPr>
          </w:p>
          <w:p w14:paraId="4063B38B" w14:textId="77777777" w:rsidR="00C07D43" w:rsidRPr="00223692" w:rsidRDefault="00C07D43" w:rsidP="00660C61">
            <w:pPr>
              <w:spacing w:after="0" w:line="240" w:lineRule="auto"/>
              <w:jc w:val="center"/>
              <w:rPr>
                <w:rFonts w:ascii="Arial" w:eastAsia="Times New Roman" w:hAnsi="Arial" w:cs="Arial"/>
                <w:sz w:val="18"/>
                <w:szCs w:val="18"/>
                <w:lang w:val="mk-MK"/>
              </w:rPr>
            </w:pPr>
          </w:p>
          <w:p w14:paraId="4BEBA959" w14:textId="77777777" w:rsidR="00C07D43" w:rsidRPr="00223692" w:rsidRDefault="00C07D43" w:rsidP="00660C61">
            <w:pPr>
              <w:spacing w:after="0" w:line="240" w:lineRule="auto"/>
              <w:jc w:val="center"/>
              <w:rPr>
                <w:rFonts w:ascii="Arial" w:eastAsia="Times New Roman" w:hAnsi="Arial" w:cs="Arial"/>
                <w:sz w:val="18"/>
                <w:szCs w:val="18"/>
                <w:lang w:val="mk-MK"/>
              </w:rPr>
            </w:pPr>
          </w:p>
          <w:p w14:paraId="2ACC8A9C" w14:textId="77777777" w:rsidR="00C07D43" w:rsidRPr="00223692" w:rsidRDefault="00C07D43" w:rsidP="00660C61">
            <w:pPr>
              <w:spacing w:after="0" w:line="240" w:lineRule="auto"/>
              <w:jc w:val="center"/>
              <w:rPr>
                <w:rFonts w:ascii="Arial" w:eastAsia="Times New Roman" w:hAnsi="Arial" w:cs="Arial"/>
                <w:sz w:val="18"/>
                <w:szCs w:val="18"/>
                <w:lang w:val="mk-MK"/>
              </w:rPr>
            </w:pPr>
          </w:p>
          <w:p w14:paraId="03EE3CE5" w14:textId="77777777" w:rsidR="00B20959" w:rsidRPr="00223692" w:rsidRDefault="004C0111"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nuk ka</w:t>
            </w:r>
          </w:p>
          <w:p w14:paraId="65A2D5D6" w14:textId="77777777" w:rsidR="00B20959" w:rsidRPr="00223692" w:rsidRDefault="00B20959" w:rsidP="00660C61">
            <w:pPr>
              <w:spacing w:after="0" w:line="240" w:lineRule="auto"/>
              <w:rPr>
                <w:rFonts w:ascii="Arial" w:eastAsia="Times New Roman" w:hAnsi="Arial" w:cs="Arial"/>
                <w:sz w:val="18"/>
                <w:szCs w:val="18"/>
                <w:lang w:val="mk-MK"/>
              </w:rPr>
            </w:pPr>
          </w:p>
        </w:tc>
        <w:tc>
          <w:tcPr>
            <w:tcW w:w="1350" w:type="dxa"/>
            <w:tcBorders>
              <w:top w:val="single" w:sz="4" w:space="0" w:color="000000"/>
              <w:left w:val="single" w:sz="4" w:space="0" w:color="000000"/>
              <w:bottom w:val="single" w:sz="4" w:space="0" w:color="000000"/>
              <w:right w:val="single" w:sz="4" w:space="0" w:color="000000"/>
            </w:tcBorders>
          </w:tcPr>
          <w:p w14:paraId="32F258DF"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16482C98"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69E384EE"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586F83C3" w14:textId="77777777" w:rsidR="00C07D43" w:rsidRPr="00223692" w:rsidRDefault="00C07D43" w:rsidP="00660C61">
            <w:pPr>
              <w:spacing w:after="0" w:line="240" w:lineRule="auto"/>
              <w:rPr>
                <w:rFonts w:ascii="Arial" w:eastAsia="Times New Roman" w:hAnsi="Arial" w:cs="Arial"/>
                <w:sz w:val="18"/>
                <w:szCs w:val="18"/>
                <w:lang w:val="mk-MK"/>
              </w:rPr>
            </w:pPr>
          </w:p>
          <w:p w14:paraId="491EBFDB" w14:textId="77777777" w:rsidR="00C07D43" w:rsidRPr="00223692" w:rsidRDefault="00C07D43" w:rsidP="00660C61">
            <w:pPr>
              <w:spacing w:after="0" w:line="240" w:lineRule="auto"/>
              <w:rPr>
                <w:rFonts w:ascii="Arial" w:eastAsia="Times New Roman" w:hAnsi="Arial" w:cs="Arial"/>
                <w:sz w:val="18"/>
                <w:szCs w:val="18"/>
                <w:lang w:val="mk-MK"/>
              </w:rPr>
            </w:pPr>
          </w:p>
          <w:p w14:paraId="3BB3239A" w14:textId="77777777" w:rsidR="00C07D43" w:rsidRPr="00223692" w:rsidRDefault="00C07D43" w:rsidP="00660C61">
            <w:pPr>
              <w:spacing w:after="0" w:line="240" w:lineRule="auto"/>
              <w:rPr>
                <w:rFonts w:ascii="Arial" w:eastAsia="Times New Roman" w:hAnsi="Arial" w:cs="Arial"/>
                <w:sz w:val="18"/>
                <w:szCs w:val="18"/>
                <w:lang w:val="mk-MK"/>
              </w:rPr>
            </w:pPr>
          </w:p>
          <w:p w14:paraId="6269AC20" w14:textId="77777777" w:rsidR="00C07D43" w:rsidRPr="00223692" w:rsidRDefault="00C07D43" w:rsidP="00660C61">
            <w:pPr>
              <w:spacing w:after="0" w:line="240" w:lineRule="auto"/>
              <w:rPr>
                <w:rFonts w:ascii="Arial" w:eastAsia="Times New Roman" w:hAnsi="Arial" w:cs="Arial"/>
                <w:sz w:val="18"/>
                <w:szCs w:val="18"/>
                <w:lang w:val="mk-MK"/>
              </w:rPr>
            </w:pPr>
          </w:p>
          <w:p w14:paraId="0AFD3805" w14:textId="77777777" w:rsidR="00B20959" w:rsidRPr="00223692" w:rsidRDefault="004C0111" w:rsidP="00660C61">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të kontrolluara</w:t>
            </w:r>
          </w:p>
        </w:tc>
      </w:tr>
      <w:tr w:rsidR="00223692" w:rsidRPr="00223692" w14:paraId="4EF0BBEB" w14:textId="77777777" w:rsidTr="00C07D43">
        <w:trPr>
          <w:trHeight w:val="152"/>
        </w:trPr>
        <w:tc>
          <w:tcPr>
            <w:tcW w:w="14025" w:type="dxa"/>
            <w:gridSpan w:val="7"/>
            <w:tcBorders>
              <w:right w:val="single" w:sz="4" w:space="0" w:color="000000"/>
            </w:tcBorders>
            <w:shd w:val="clear" w:color="auto" w:fill="C9C9C9" w:themeFill="accent3" w:themeFillTint="99"/>
          </w:tcPr>
          <w:p w14:paraId="4BDC2F66" w14:textId="77777777" w:rsidR="00C07D43" w:rsidRPr="00223692" w:rsidRDefault="00B20959" w:rsidP="00660C61">
            <w:pPr>
              <w:spacing w:after="0" w:line="240" w:lineRule="auto"/>
              <w:rPr>
                <w:rFonts w:ascii="Arial" w:eastAsia="Times New Roman" w:hAnsi="Arial" w:cs="Arial"/>
                <w:b/>
                <w:sz w:val="18"/>
                <w:szCs w:val="18"/>
                <w:lang w:val="mk-MK"/>
              </w:rPr>
            </w:pPr>
            <w:r w:rsidRPr="00223692">
              <w:rPr>
                <w:rFonts w:ascii="Arial" w:eastAsia="Times New Roman" w:hAnsi="Arial" w:cs="Arial"/>
                <w:b/>
                <w:sz w:val="18"/>
                <w:szCs w:val="18"/>
                <w:lang w:val="mk-MK"/>
              </w:rPr>
              <w:t>Fusha 3: Trajtimi i raporteve të parregullsive dhe raporteve të sinjalizuesve</w:t>
            </w:r>
          </w:p>
          <w:p w14:paraId="591327F5" w14:textId="77777777" w:rsidR="00CA37FC" w:rsidRPr="00223692" w:rsidRDefault="00CA37FC" w:rsidP="00660C61">
            <w:pPr>
              <w:spacing w:after="0" w:line="240" w:lineRule="auto"/>
              <w:rPr>
                <w:rFonts w:ascii="Arial" w:eastAsia="Times New Roman" w:hAnsi="Arial" w:cs="Arial"/>
                <w:b/>
                <w:sz w:val="18"/>
                <w:szCs w:val="18"/>
                <w:lang w:val="mk-MK"/>
              </w:rPr>
            </w:pPr>
          </w:p>
        </w:tc>
      </w:tr>
      <w:tr w:rsidR="00223692" w:rsidRPr="00223692" w14:paraId="40640D11" w14:textId="77777777" w:rsidTr="00660C61">
        <w:trPr>
          <w:trHeight w:val="402"/>
        </w:trPr>
        <w:tc>
          <w:tcPr>
            <w:tcW w:w="1786" w:type="dxa"/>
            <w:shd w:val="clear" w:color="auto" w:fill="D9D9D9" w:themeFill="background1" w:themeFillShade="D9"/>
          </w:tcPr>
          <w:p w14:paraId="0465FF04"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Rreziku</w:t>
            </w:r>
          </w:p>
        </w:tc>
        <w:tc>
          <w:tcPr>
            <w:tcW w:w="2505" w:type="dxa"/>
            <w:shd w:val="clear" w:color="auto" w:fill="D9D9D9" w:themeFill="background1" w:themeFillShade="D9"/>
          </w:tcPr>
          <w:p w14:paraId="57F4EB5B"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Aktiviteti</w:t>
            </w:r>
          </w:p>
        </w:tc>
        <w:tc>
          <w:tcPr>
            <w:tcW w:w="1995" w:type="dxa"/>
            <w:shd w:val="clear" w:color="auto" w:fill="D9D9D9" w:themeFill="background1" w:themeFillShade="D9"/>
          </w:tcPr>
          <w:p w14:paraId="69F5F705"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Masa</w:t>
            </w:r>
          </w:p>
        </w:tc>
        <w:tc>
          <w:tcPr>
            <w:tcW w:w="3599" w:type="dxa"/>
            <w:shd w:val="clear" w:color="auto" w:fill="D9D9D9" w:themeFill="background1" w:themeFillShade="D9"/>
          </w:tcPr>
          <w:p w14:paraId="1C12696A" w14:textId="77777777" w:rsidR="00B20959" w:rsidRPr="00223692" w:rsidRDefault="00B20959" w:rsidP="00A353BC">
            <w:pPr>
              <w:spacing w:after="0" w:line="240" w:lineRule="auto"/>
              <w:jc w:val="center"/>
              <w:rPr>
                <w:sz w:val="10"/>
                <w:szCs w:val="10"/>
                <w:lang w:val="mk-MK"/>
              </w:rPr>
            </w:pPr>
            <w:r w:rsidRPr="00223692">
              <w:rPr>
                <w:rFonts w:ascii="Arial" w:eastAsia="Times New Roman" w:hAnsi="Arial" w:cs="Arial"/>
                <w:b/>
                <w:i/>
                <w:sz w:val="18"/>
                <w:szCs w:val="18"/>
                <w:lang w:val="mk-MK"/>
              </w:rPr>
              <w:t>Mbajtës/njësi organizative kompetente</w:t>
            </w:r>
          </w:p>
        </w:tc>
        <w:tc>
          <w:tcPr>
            <w:tcW w:w="1440" w:type="dxa"/>
            <w:shd w:val="clear" w:color="auto" w:fill="D9D9D9" w:themeFill="background1" w:themeFillShade="D9"/>
          </w:tcPr>
          <w:p w14:paraId="0962BEE2"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Afati i zbatimit</w:t>
            </w:r>
          </w:p>
        </w:tc>
        <w:tc>
          <w:tcPr>
            <w:tcW w:w="1350" w:type="dxa"/>
            <w:shd w:val="clear" w:color="auto" w:fill="D9D9D9" w:themeFill="background1" w:themeFillShade="D9"/>
          </w:tcPr>
          <w:p w14:paraId="2C41A07F"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Implikimet financiare</w:t>
            </w:r>
          </w:p>
        </w:tc>
        <w:tc>
          <w:tcPr>
            <w:tcW w:w="1350" w:type="dxa"/>
            <w:shd w:val="clear" w:color="auto" w:fill="D9D9D9" w:themeFill="background1" w:themeFillShade="D9"/>
          </w:tcPr>
          <w:p w14:paraId="6CB6EB0C" w14:textId="77777777" w:rsidR="00B20959" w:rsidRPr="00223692" w:rsidRDefault="00B20959" w:rsidP="00660C61">
            <w:pPr>
              <w:spacing w:after="0" w:line="240" w:lineRule="auto"/>
              <w:rPr>
                <w:sz w:val="10"/>
                <w:szCs w:val="10"/>
                <w:lang w:val="mk-MK"/>
              </w:rPr>
            </w:pPr>
            <w:r w:rsidRPr="00223692">
              <w:rPr>
                <w:rFonts w:ascii="Arial" w:eastAsia="Times New Roman" w:hAnsi="Arial" w:cs="Arial"/>
                <w:b/>
                <w:i/>
                <w:sz w:val="18"/>
                <w:szCs w:val="18"/>
                <w:lang w:val="mk-MK"/>
              </w:rPr>
              <w:t>Vlerësimi i rrezikut</w:t>
            </w:r>
          </w:p>
        </w:tc>
      </w:tr>
      <w:tr w:rsidR="00223692" w:rsidRPr="00223692" w14:paraId="1B9D94B9" w14:textId="77777777" w:rsidTr="00660C61">
        <w:trPr>
          <w:trHeight w:val="402"/>
        </w:trPr>
        <w:tc>
          <w:tcPr>
            <w:tcW w:w="1786" w:type="dxa"/>
            <w:vMerge w:val="restart"/>
            <w:shd w:val="clear" w:color="auto" w:fill="FFFFFF" w:themeFill="background1"/>
          </w:tcPr>
          <w:p w14:paraId="5956199E"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5721B76F"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438712E3" w14:textId="77777777" w:rsidR="00CA37FC" w:rsidRPr="00223692" w:rsidRDefault="00CA37FC" w:rsidP="004C2132">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Zbatim joadekuat i legjislacionit dhe sistemit të mbrojtjes së sinjalizuesve</w:t>
            </w:r>
          </w:p>
          <w:p w14:paraId="2FEC6815" w14:textId="77777777" w:rsidR="00CA37FC" w:rsidRPr="00223692" w:rsidRDefault="00CA37FC" w:rsidP="00660C61">
            <w:pPr>
              <w:spacing w:after="0" w:line="240" w:lineRule="auto"/>
              <w:rPr>
                <w:rFonts w:ascii="Arial" w:eastAsia="Times New Roman" w:hAnsi="Arial" w:cs="Arial"/>
                <w:b/>
                <w:i/>
                <w:sz w:val="18"/>
                <w:szCs w:val="18"/>
                <w:lang w:val="mk-MK"/>
              </w:rPr>
            </w:pPr>
          </w:p>
        </w:tc>
        <w:tc>
          <w:tcPr>
            <w:tcW w:w="2505" w:type="dxa"/>
            <w:tcBorders>
              <w:top w:val="single" w:sz="4" w:space="0" w:color="000000"/>
              <w:left w:val="single" w:sz="4" w:space="0" w:color="000000"/>
              <w:bottom w:val="single" w:sz="4" w:space="0" w:color="000000"/>
              <w:right w:val="single" w:sz="4" w:space="0" w:color="000000"/>
            </w:tcBorders>
          </w:tcPr>
          <w:p w14:paraId="1B61AA66" w14:textId="77777777" w:rsidR="005B1435" w:rsidRDefault="005B1435" w:rsidP="00B20959">
            <w:pPr>
              <w:spacing w:after="0" w:line="240" w:lineRule="auto"/>
              <w:jc w:val="center"/>
              <w:rPr>
                <w:rFonts w:ascii="Arial" w:eastAsia="Times New Roman" w:hAnsi="Arial" w:cs="Arial"/>
                <w:sz w:val="18"/>
                <w:szCs w:val="18"/>
                <w:lang w:val="mk-MK"/>
              </w:rPr>
            </w:pPr>
          </w:p>
          <w:p w14:paraId="0CD2CA73" w14:textId="77777777" w:rsidR="00CA37FC" w:rsidRPr="00223692" w:rsidRDefault="00CA37FC" w:rsidP="00B20959">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Ndërgjegjësimi i punonjësve të Agjencisë, drejtorit dhe anëtarëve të Këshillit për mundësitë e veprimit sipas Ligjit për mbrojtjen e sinjalizuesve dhe akteve nënligjore të Agjencisë.</w:t>
            </w:r>
          </w:p>
        </w:tc>
        <w:tc>
          <w:tcPr>
            <w:tcW w:w="1995" w:type="dxa"/>
            <w:tcBorders>
              <w:top w:val="single" w:sz="4" w:space="0" w:color="000000"/>
              <w:left w:val="single" w:sz="4" w:space="0" w:color="000000"/>
              <w:bottom w:val="single" w:sz="4" w:space="0" w:color="auto"/>
              <w:right w:val="single" w:sz="4" w:space="0" w:color="000000"/>
            </w:tcBorders>
          </w:tcPr>
          <w:p w14:paraId="0DAD4485" w14:textId="77777777" w:rsidR="00102198" w:rsidRDefault="00102198" w:rsidP="004C2132">
            <w:pPr>
              <w:spacing w:after="0" w:line="240" w:lineRule="auto"/>
              <w:jc w:val="center"/>
              <w:rPr>
                <w:rFonts w:ascii="Arial" w:eastAsia="Times New Roman" w:hAnsi="Arial" w:cs="Arial"/>
                <w:sz w:val="18"/>
                <w:szCs w:val="18"/>
                <w:lang w:val="mk-MK"/>
              </w:rPr>
            </w:pPr>
          </w:p>
          <w:p w14:paraId="4B2A5245" w14:textId="77777777" w:rsidR="009F2804" w:rsidRPr="00223692" w:rsidRDefault="00CA37FC" w:rsidP="004C2132">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Përmirësimi i njohurive për Ligjin për Mbrojtjen e Denoncuesve dhe Procedurën për Procedurën për Raportim të Brendshëm të Mbrojtur, përmes njohjes me aktet ligjore dhe nënligjore të disponueshme në faqen e internetit të Agjencisë</w:t>
            </w:r>
          </w:p>
        </w:tc>
        <w:tc>
          <w:tcPr>
            <w:tcW w:w="3599" w:type="dxa"/>
            <w:vMerge w:val="restart"/>
            <w:shd w:val="clear" w:color="auto" w:fill="FFFFFF" w:themeFill="background1"/>
          </w:tcPr>
          <w:p w14:paraId="31A3047F"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55F05766"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0055C70A"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75C17C15"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0F2B1984" w14:textId="77777777" w:rsidR="00977EEE" w:rsidRDefault="00977EEE" w:rsidP="0020267E">
            <w:pPr>
              <w:spacing w:after="0" w:line="240" w:lineRule="auto"/>
              <w:jc w:val="center"/>
              <w:rPr>
                <w:rFonts w:ascii="Arial" w:eastAsia="Times New Roman" w:hAnsi="Arial" w:cs="Arial"/>
                <w:sz w:val="18"/>
                <w:szCs w:val="18"/>
                <w:lang w:val="mk-MK"/>
              </w:rPr>
            </w:pPr>
          </w:p>
          <w:p w14:paraId="28104DCD" w14:textId="77777777" w:rsidR="00977EEE" w:rsidRDefault="00977EEE" w:rsidP="0020267E">
            <w:pPr>
              <w:spacing w:after="0" w:line="240" w:lineRule="auto"/>
              <w:jc w:val="center"/>
              <w:rPr>
                <w:rFonts w:ascii="Arial" w:eastAsia="Times New Roman" w:hAnsi="Arial" w:cs="Arial"/>
                <w:sz w:val="18"/>
                <w:szCs w:val="18"/>
                <w:lang w:val="mk-MK"/>
              </w:rPr>
            </w:pPr>
          </w:p>
          <w:p w14:paraId="5EE2D467" w14:textId="77777777" w:rsidR="00977EEE" w:rsidRDefault="00977EEE" w:rsidP="0020267E">
            <w:pPr>
              <w:spacing w:after="0" w:line="240" w:lineRule="auto"/>
              <w:jc w:val="center"/>
              <w:rPr>
                <w:rFonts w:ascii="Arial" w:eastAsia="Times New Roman" w:hAnsi="Arial" w:cs="Arial"/>
                <w:sz w:val="18"/>
                <w:szCs w:val="18"/>
                <w:lang w:val="mk-MK"/>
              </w:rPr>
            </w:pPr>
          </w:p>
          <w:p w14:paraId="4A6DC789" w14:textId="77777777" w:rsidR="00977EEE" w:rsidRDefault="00977EEE" w:rsidP="0020267E">
            <w:pPr>
              <w:spacing w:after="0" w:line="240" w:lineRule="auto"/>
              <w:jc w:val="center"/>
              <w:rPr>
                <w:rFonts w:ascii="Arial" w:eastAsia="Times New Roman" w:hAnsi="Arial" w:cs="Arial"/>
                <w:sz w:val="18"/>
                <w:szCs w:val="18"/>
                <w:lang w:val="mk-MK"/>
              </w:rPr>
            </w:pPr>
          </w:p>
          <w:p w14:paraId="603C890A" w14:textId="77777777" w:rsidR="00977EEE" w:rsidRDefault="00977EEE" w:rsidP="0020267E">
            <w:pPr>
              <w:spacing w:after="0" w:line="240" w:lineRule="auto"/>
              <w:jc w:val="center"/>
              <w:rPr>
                <w:rFonts w:ascii="Arial" w:eastAsia="Times New Roman" w:hAnsi="Arial" w:cs="Arial"/>
                <w:sz w:val="18"/>
                <w:szCs w:val="18"/>
                <w:lang w:val="mk-MK"/>
              </w:rPr>
            </w:pPr>
          </w:p>
          <w:p w14:paraId="0B9632D6" w14:textId="77777777" w:rsidR="00977EEE" w:rsidRDefault="00977EEE" w:rsidP="0020267E">
            <w:pPr>
              <w:spacing w:after="0" w:line="240" w:lineRule="auto"/>
              <w:jc w:val="center"/>
              <w:rPr>
                <w:rFonts w:ascii="Arial" w:eastAsia="Times New Roman" w:hAnsi="Arial" w:cs="Arial"/>
                <w:sz w:val="18"/>
                <w:szCs w:val="18"/>
                <w:lang w:val="mk-MK"/>
              </w:rPr>
            </w:pPr>
          </w:p>
          <w:p w14:paraId="1AC22D57" w14:textId="0D6234F4" w:rsidR="00CA37FC" w:rsidRPr="00223692" w:rsidRDefault="00CA37FC" w:rsidP="0020267E">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Personi i ngarkuar për marrjen</w:t>
            </w:r>
          </w:p>
          <w:p w14:paraId="26522046" w14:textId="77777777" w:rsidR="00CA37FC" w:rsidRPr="00223692" w:rsidRDefault="00CA37FC"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raporton sinjalizuesi</w:t>
            </w:r>
          </w:p>
          <w:p w14:paraId="37ACE3B7" w14:textId="77777777" w:rsidR="00CA37FC" w:rsidRPr="00223692" w:rsidRDefault="00CA37FC" w:rsidP="00660C61">
            <w:pPr>
              <w:spacing w:after="0" w:line="240" w:lineRule="auto"/>
              <w:rPr>
                <w:rFonts w:ascii="Arial" w:eastAsia="Times New Roman" w:hAnsi="Arial" w:cs="Arial"/>
                <w:sz w:val="18"/>
                <w:szCs w:val="18"/>
                <w:lang w:val="mk-MK"/>
              </w:rPr>
            </w:pPr>
          </w:p>
          <w:p w14:paraId="7EA8A57D" w14:textId="77777777" w:rsidR="00CA37FC" w:rsidRPr="00223692" w:rsidRDefault="00CA37FC" w:rsidP="00660C61">
            <w:pPr>
              <w:spacing w:after="0" w:line="240" w:lineRule="auto"/>
              <w:rPr>
                <w:rFonts w:ascii="Arial" w:eastAsia="Times New Roman" w:hAnsi="Arial" w:cs="Arial"/>
                <w:sz w:val="18"/>
                <w:szCs w:val="18"/>
                <w:lang w:val="mk-MK"/>
              </w:rPr>
            </w:pPr>
          </w:p>
          <w:p w14:paraId="26E1AD97" w14:textId="77777777" w:rsidR="00CA37FC" w:rsidRPr="00223692" w:rsidRDefault="00CA37FC" w:rsidP="00660C61">
            <w:pPr>
              <w:spacing w:after="0" w:line="240" w:lineRule="auto"/>
              <w:rPr>
                <w:rFonts w:ascii="Arial" w:eastAsia="Times New Roman" w:hAnsi="Arial" w:cs="Arial"/>
                <w:sz w:val="18"/>
                <w:szCs w:val="18"/>
                <w:lang w:val="mk-MK"/>
              </w:rPr>
            </w:pPr>
          </w:p>
          <w:p w14:paraId="3ACD3307" w14:textId="77777777" w:rsidR="00CA37FC" w:rsidRPr="00223692" w:rsidRDefault="00CA37FC" w:rsidP="00660C61">
            <w:pPr>
              <w:spacing w:after="0" w:line="240" w:lineRule="auto"/>
              <w:rPr>
                <w:rFonts w:ascii="Arial" w:eastAsia="Times New Roman" w:hAnsi="Arial" w:cs="Arial"/>
                <w:sz w:val="18"/>
                <w:szCs w:val="18"/>
                <w:lang w:val="mk-MK"/>
              </w:rPr>
            </w:pPr>
          </w:p>
          <w:p w14:paraId="6D2B5DB8" w14:textId="77777777" w:rsidR="00CA37FC" w:rsidRPr="00223692" w:rsidRDefault="00CA37FC" w:rsidP="00660C61">
            <w:pPr>
              <w:spacing w:after="0" w:line="240" w:lineRule="auto"/>
              <w:rPr>
                <w:rFonts w:ascii="Arial" w:eastAsia="Times New Roman" w:hAnsi="Arial" w:cs="Arial"/>
                <w:b/>
                <w:i/>
                <w:sz w:val="18"/>
                <w:szCs w:val="18"/>
                <w:lang w:val="mk-MK"/>
              </w:rPr>
            </w:pPr>
          </w:p>
        </w:tc>
        <w:tc>
          <w:tcPr>
            <w:tcW w:w="1440" w:type="dxa"/>
            <w:tcBorders>
              <w:top w:val="single" w:sz="4" w:space="0" w:color="000000"/>
              <w:left w:val="single" w:sz="4" w:space="0" w:color="000000"/>
              <w:right w:val="single" w:sz="4" w:space="0" w:color="000000"/>
            </w:tcBorders>
          </w:tcPr>
          <w:p w14:paraId="33B7554E" w14:textId="77777777" w:rsidR="00CA37FC" w:rsidRPr="00223692" w:rsidRDefault="00CA37FC" w:rsidP="00660C61">
            <w:pPr>
              <w:spacing w:after="0" w:line="240" w:lineRule="auto"/>
              <w:jc w:val="center"/>
              <w:rPr>
                <w:rFonts w:ascii="Arial" w:eastAsia="Times New Roman" w:hAnsi="Arial" w:cs="Arial"/>
                <w:sz w:val="18"/>
                <w:szCs w:val="18"/>
              </w:rPr>
            </w:pPr>
          </w:p>
          <w:p w14:paraId="1B5055BF" w14:textId="77777777" w:rsidR="00CA37FC" w:rsidRPr="00223692" w:rsidRDefault="00CA37FC" w:rsidP="00660C61">
            <w:pPr>
              <w:spacing w:after="0" w:line="240" w:lineRule="auto"/>
              <w:jc w:val="center"/>
              <w:rPr>
                <w:rFonts w:ascii="Arial" w:eastAsia="Times New Roman" w:hAnsi="Arial" w:cs="Arial"/>
                <w:sz w:val="18"/>
                <w:szCs w:val="18"/>
              </w:rPr>
            </w:pPr>
          </w:p>
          <w:p w14:paraId="73F65401" w14:textId="77777777" w:rsidR="00CA37FC" w:rsidRPr="00223692" w:rsidRDefault="00CA37FC" w:rsidP="00660C61">
            <w:pPr>
              <w:spacing w:after="0" w:line="240" w:lineRule="auto"/>
              <w:jc w:val="center"/>
              <w:rPr>
                <w:rFonts w:ascii="Arial" w:eastAsia="Times New Roman" w:hAnsi="Arial" w:cs="Arial"/>
                <w:sz w:val="18"/>
                <w:szCs w:val="18"/>
              </w:rPr>
            </w:pPr>
          </w:p>
          <w:p w14:paraId="4C019F7A" w14:textId="77777777" w:rsidR="00CA37FC" w:rsidRPr="00223692" w:rsidRDefault="004C0111" w:rsidP="00660C61">
            <w:pPr>
              <w:spacing w:after="0" w:line="240" w:lineRule="auto"/>
              <w:rPr>
                <w:rFonts w:ascii="Arial" w:eastAsia="Times New Roman" w:hAnsi="Arial" w:cs="Arial"/>
                <w:sz w:val="18"/>
                <w:szCs w:val="18"/>
              </w:rPr>
            </w:pPr>
            <w:r>
              <w:rPr>
                <w:rFonts w:ascii="Arial" w:eastAsia="Times New Roman" w:hAnsi="Arial" w:cs="Arial"/>
                <w:sz w:val="18"/>
                <w:szCs w:val="18"/>
                <w:lang w:val="mk-MK"/>
              </w:rPr>
              <w:t>vazhdimisht</w:t>
            </w:r>
          </w:p>
        </w:tc>
        <w:tc>
          <w:tcPr>
            <w:tcW w:w="1350" w:type="dxa"/>
            <w:tcBorders>
              <w:top w:val="single" w:sz="4" w:space="0" w:color="000000"/>
              <w:left w:val="single" w:sz="4" w:space="0" w:color="000000"/>
              <w:right w:val="single" w:sz="4" w:space="0" w:color="000000"/>
            </w:tcBorders>
          </w:tcPr>
          <w:p w14:paraId="754FE18F"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148D2DC7"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0721E478" w14:textId="77777777" w:rsidR="00CA37FC" w:rsidRPr="00223692" w:rsidRDefault="00CA37FC" w:rsidP="00660C61">
            <w:pPr>
              <w:spacing w:after="0" w:line="240" w:lineRule="auto"/>
              <w:jc w:val="center"/>
            </w:pPr>
          </w:p>
          <w:p w14:paraId="3A467369" w14:textId="77777777" w:rsidR="00CA37FC" w:rsidRPr="00223692" w:rsidRDefault="004C0111"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nuk ka</w:t>
            </w:r>
          </w:p>
          <w:p w14:paraId="3BC6563E" w14:textId="77777777" w:rsidR="00CA37FC" w:rsidRPr="00223692" w:rsidRDefault="00CA37FC" w:rsidP="00660C61">
            <w:pPr>
              <w:spacing w:after="0" w:line="240" w:lineRule="auto"/>
              <w:jc w:val="center"/>
              <w:rPr>
                <w:rFonts w:ascii="Arial" w:eastAsia="Times New Roman" w:hAnsi="Arial" w:cs="Arial"/>
                <w:sz w:val="18"/>
                <w:szCs w:val="18"/>
                <w:lang w:val="mk-MK"/>
              </w:rPr>
            </w:pPr>
          </w:p>
        </w:tc>
        <w:tc>
          <w:tcPr>
            <w:tcW w:w="1350" w:type="dxa"/>
            <w:tcBorders>
              <w:top w:val="single" w:sz="4" w:space="0" w:color="000000"/>
              <w:left w:val="single" w:sz="4" w:space="0" w:color="000000"/>
              <w:right w:val="single" w:sz="4" w:space="0" w:color="000000"/>
            </w:tcBorders>
          </w:tcPr>
          <w:p w14:paraId="42E74CDC"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3E7C6093"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4491BA46"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25A3E539" w14:textId="77777777" w:rsidR="00CA37FC" w:rsidRPr="00223692" w:rsidRDefault="004C0111" w:rsidP="00660C61">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të kontrolluara</w:t>
            </w:r>
          </w:p>
        </w:tc>
      </w:tr>
      <w:tr w:rsidR="00223692" w:rsidRPr="00223692" w14:paraId="54A640C1" w14:textId="77777777" w:rsidTr="00CA37FC">
        <w:trPr>
          <w:trHeight w:val="1430"/>
        </w:trPr>
        <w:tc>
          <w:tcPr>
            <w:tcW w:w="1786" w:type="dxa"/>
            <w:vMerge/>
            <w:shd w:val="clear" w:color="auto" w:fill="FFFFFF" w:themeFill="background1"/>
          </w:tcPr>
          <w:p w14:paraId="075F4EF5" w14:textId="77777777" w:rsidR="00CA37FC" w:rsidRPr="00223692" w:rsidRDefault="00CA37FC" w:rsidP="00660C61">
            <w:pPr>
              <w:spacing w:after="0" w:line="240" w:lineRule="auto"/>
              <w:jc w:val="center"/>
              <w:rPr>
                <w:rFonts w:ascii="Arial" w:eastAsia="Times New Roman" w:hAnsi="Arial" w:cs="Arial"/>
                <w:sz w:val="18"/>
                <w:szCs w:val="18"/>
                <w:lang w:val="mk-MK"/>
              </w:rPr>
            </w:pPr>
          </w:p>
        </w:tc>
        <w:tc>
          <w:tcPr>
            <w:tcW w:w="2505" w:type="dxa"/>
            <w:tcBorders>
              <w:top w:val="single" w:sz="4" w:space="0" w:color="000000"/>
              <w:left w:val="single" w:sz="4" w:space="0" w:color="000000"/>
              <w:right w:val="single" w:sz="4" w:space="0" w:color="000000"/>
            </w:tcBorders>
          </w:tcPr>
          <w:p w14:paraId="6E64C6FF" w14:textId="3CC750E6" w:rsidR="009F2804" w:rsidRPr="00223692" w:rsidRDefault="00CA37FC" w:rsidP="004C2132">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Duke vepruar në përputhje me Ligjin për mbrojtjen e sinjalizuesve, aktet nënligjore, Udhëzimet për pranimin e raporteve nga sinjalizuesit, nxjerrjen dhe përpunimin e të dhënave nga raportet dhe marrjen e masave për të siguruar mbrojtjen e të dhënave personale dhe të dhënave të tjera të Agjencisë.</w:t>
            </w:r>
          </w:p>
        </w:tc>
        <w:tc>
          <w:tcPr>
            <w:tcW w:w="1995" w:type="dxa"/>
            <w:tcBorders>
              <w:top w:val="single" w:sz="4" w:space="0" w:color="auto"/>
              <w:left w:val="single" w:sz="4" w:space="0" w:color="000000"/>
              <w:bottom w:val="single" w:sz="4" w:space="0" w:color="auto"/>
              <w:right w:val="single" w:sz="4" w:space="0" w:color="000000"/>
            </w:tcBorders>
          </w:tcPr>
          <w:p w14:paraId="2B33151B"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61BD7902" w14:textId="77777777" w:rsidR="00CA37FC" w:rsidRPr="00223692" w:rsidRDefault="00CA37FC"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Përgatitja e një raporti gjashtëmujor për trajtimin e raporteve të sinjalizuesve për gjysmën e dytë të vitit 2024. dhe për gjysmën e parë të vitit 2025.</w:t>
            </w:r>
          </w:p>
          <w:p w14:paraId="3CD83784"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4DD68B1C"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3AA387F1" w14:textId="77777777" w:rsidR="00CA37FC" w:rsidRPr="00223692" w:rsidRDefault="00CA37FC" w:rsidP="00660C61">
            <w:pPr>
              <w:spacing w:after="0" w:line="240" w:lineRule="auto"/>
              <w:rPr>
                <w:rFonts w:ascii="Arial" w:eastAsia="Times New Roman" w:hAnsi="Arial" w:cs="Arial"/>
                <w:sz w:val="18"/>
                <w:szCs w:val="18"/>
                <w:lang w:val="mk-MK"/>
              </w:rPr>
            </w:pPr>
          </w:p>
        </w:tc>
        <w:tc>
          <w:tcPr>
            <w:tcW w:w="3599" w:type="dxa"/>
            <w:vMerge/>
            <w:shd w:val="clear" w:color="auto" w:fill="FFFFFF" w:themeFill="background1"/>
          </w:tcPr>
          <w:p w14:paraId="2EA2E911" w14:textId="77777777" w:rsidR="00CA37FC" w:rsidRPr="00223692" w:rsidRDefault="00CA37FC" w:rsidP="00660C61">
            <w:pPr>
              <w:spacing w:after="0" w:line="240" w:lineRule="auto"/>
              <w:rPr>
                <w:rFonts w:ascii="Arial" w:eastAsia="Times New Roman" w:hAnsi="Arial" w:cs="Arial"/>
                <w:b/>
                <w:i/>
                <w:sz w:val="18"/>
                <w:szCs w:val="18"/>
                <w:lang w:val="mk-MK"/>
              </w:rPr>
            </w:pPr>
          </w:p>
        </w:tc>
        <w:tc>
          <w:tcPr>
            <w:tcW w:w="1440" w:type="dxa"/>
            <w:tcBorders>
              <w:left w:val="single" w:sz="4" w:space="0" w:color="000000"/>
              <w:right w:val="single" w:sz="4" w:space="0" w:color="000000"/>
            </w:tcBorders>
          </w:tcPr>
          <w:p w14:paraId="3AD3F3B6"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70397258"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66E48304"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678323C4"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2D0004F3" w14:textId="77777777" w:rsidR="00CA37FC" w:rsidRPr="00223692" w:rsidRDefault="00CA37FC" w:rsidP="00CA37FC">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Janar 2025/</w:t>
            </w:r>
          </w:p>
          <w:p w14:paraId="74CAA395" w14:textId="77777777" w:rsidR="00CA37FC" w:rsidRPr="00223692" w:rsidRDefault="00CA37FC" w:rsidP="00CA37FC">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gusht 2025/</w:t>
            </w:r>
          </w:p>
        </w:tc>
        <w:tc>
          <w:tcPr>
            <w:tcW w:w="1350" w:type="dxa"/>
            <w:tcBorders>
              <w:left w:val="single" w:sz="4" w:space="0" w:color="000000"/>
              <w:right w:val="single" w:sz="4" w:space="0" w:color="000000"/>
            </w:tcBorders>
          </w:tcPr>
          <w:p w14:paraId="1CF28C02"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1FF1EC64"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1F066CA1"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54822E16"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212ED46A" w14:textId="77777777" w:rsidR="00CA37FC" w:rsidRPr="00223692" w:rsidRDefault="004C0111" w:rsidP="00660C61">
            <w:pPr>
              <w:spacing w:after="0" w:line="240" w:lineRule="auto"/>
              <w:jc w:val="center"/>
              <w:rPr>
                <w:rFonts w:ascii="Arial" w:eastAsia="Times New Roman" w:hAnsi="Arial" w:cs="Arial"/>
                <w:sz w:val="18"/>
                <w:szCs w:val="18"/>
                <w:lang w:val="mk-MK"/>
              </w:rPr>
            </w:pPr>
            <w:r>
              <w:rPr>
                <w:rFonts w:ascii="Arial" w:eastAsia="Times New Roman" w:hAnsi="Arial" w:cs="Arial"/>
                <w:sz w:val="18"/>
                <w:szCs w:val="18"/>
                <w:lang w:val="mk-MK"/>
              </w:rPr>
              <w:t>nuk ka</w:t>
            </w:r>
          </w:p>
        </w:tc>
        <w:tc>
          <w:tcPr>
            <w:tcW w:w="1350" w:type="dxa"/>
            <w:tcBorders>
              <w:left w:val="single" w:sz="4" w:space="0" w:color="000000"/>
              <w:right w:val="single" w:sz="4" w:space="0" w:color="000000"/>
            </w:tcBorders>
          </w:tcPr>
          <w:p w14:paraId="1C97B8DB"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039B74F1"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7DE1EAAF"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5EF5310F" w14:textId="77777777" w:rsidR="00CA37FC" w:rsidRPr="00223692" w:rsidRDefault="00CA37FC" w:rsidP="00660C61">
            <w:pPr>
              <w:spacing w:after="0" w:line="240" w:lineRule="auto"/>
              <w:jc w:val="center"/>
              <w:rPr>
                <w:rFonts w:ascii="Arial" w:eastAsia="Times New Roman" w:hAnsi="Arial" w:cs="Arial"/>
                <w:sz w:val="18"/>
                <w:szCs w:val="18"/>
                <w:lang w:val="mk-MK"/>
              </w:rPr>
            </w:pPr>
          </w:p>
          <w:p w14:paraId="7F680574" w14:textId="77777777" w:rsidR="00CA37FC" w:rsidRPr="00223692" w:rsidRDefault="004C0111" w:rsidP="00660C61">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të kontrolluara</w:t>
            </w:r>
          </w:p>
        </w:tc>
      </w:tr>
      <w:tr w:rsidR="00223692" w:rsidRPr="00223692" w14:paraId="1ABBD900" w14:textId="77777777" w:rsidTr="00B20959">
        <w:trPr>
          <w:trHeight w:val="260"/>
        </w:trPr>
        <w:tc>
          <w:tcPr>
            <w:tcW w:w="14025" w:type="dxa"/>
            <w:gridSpan w:val="7"/>
            <w:tcBorders>
              <w:right w:val="single" w:sz="4" w:space="0" w:color="000000"/>
            </w:tcBorders>
            <w:shd w:val="clear" w:color="auto" w:fill="C9C9C9" w:themeFill="accent3" w:themeFillTint="99"/>
          </w:tcPr>
          <w:p w14:paraId="090F11A5" w14:textId="77777777" w:rsidR="00CA37FC" w:rsidRPr="00223692" w:rsidRDefault="00CA37FC" w:rsidP="00B20959">
            <w:pPr>
              <w:spacing w:after="0" w:line="240" w:lineRule="auto"/>
              <w:rPr>
                <w:rFonts w:ascii="Arial" w:eastAsia="Times New Roman" w:hAnsi="Arial" w:cs="Arial"/>
                <w:b/>
                <w:sz w:val="18"/>
                <w:szCs w:val="18"/>
                <w:lang w:val="mk-MK"/>
              </w:rPr>
            </w:pPr>
          </w:p>
          <w:p w14:paraId="22249F24" w14:textId="77777777" w:rsidR="00B20959" w:rsidRPr="00223692" w:rsidRDefault="00B20959" w:rsidP="00B20959">
            <w:pPr>
              <w:spacing w:after="0" w:line="240" w:lineRule="auto"/>
              <w:rPr>
                <w:rFonts w:ascii="Arial" w:eastAsia="Times New Roman" w:hAnsi="Arial" w:cs="Arial"/>
                <w:b/>
                <w:sz w:val="18"/>
                <w:szCs w:val="18"/>
                <w:lang w:val="mk-MK"/>
              </w:rPr>
            </w:pPr>
            <w:r w:rsidRPr="00223692">
              <w:rPr>
                <w:rFonts w:ascii="Arial" w:eastAsia="Times New Roman" w:hAnsi="Arial" w:cs="Arial"/>
                <w:b/>
                <w:sz w:val="18"/>
                <w:szCs w:val="18"/>
                <w:lang w:val="mk-MK"/>
              </w:rPr>
              <w:t>Fusha 4: Prokurimi Publik</w:t>
            </w:r>
          </w:p>
          <w:p w14:paraId="71F9E465" w14:textId="77777777" w:rsidR="00CA37FC" w:rsidRPr="00223692" w:rsidRDefault="00CA37FC" w:rsidP="00B20959">
            <w:pPr>
              <w:spacing w:after="0" w:line="240" w:lineRule="auto"/>
              <w:rPr>
                <w:rFonts w:ascii="Arial" w:eastAsia="Times New Roman" w:hAnsi="Arial" w:cs="Arial"/>
                <w:b/>
                <w:sz w:val="18"/>
                <w:szCs w:val="18"/>
                <w:lang w:val="mk-MK"/>
              </w:rPr>
            </w:pPr>
          </w:p>
        </w:tc>
      </w:tr>
      <w:tr w:rsidR="00223692" w:rsidRPr="00223692" w14:paraId="6E65192F" w14:textId="77777777" w:rsidTr="00660C61">
        <w:trPr>
          <w:trHeight w:val="728"/>
        </w:trPr>
        <w:tc>
          <w:tcPr>
            <w:tcW w:w="1786" w:type="dxa"/>
            <w:tcBorders>
              <w:top w:val="single" w:sz="4" w:space="0" w:color="000000"/>
              <w:left w:val="single" w:sz="4" w:space="0" w:color="000000"/>
              <w:bottom w:val="single" w:sz="4" w:space="0" w:color="000000"/>
              <w:right w:val="single" w:sz="4" w:space="0" w:color="000000"/>
            </w:tcBorders>
            <w:shd w:val="clear" w:color="auto" w:fill="D9D9D9"/>
          </w:tcPr>
          <w:p w14:paraId="33809477" w14:textId="77777777" w:rsidR="00B20959" w:rsidRPr="00223692" w:rsidRDefault="00B20959" w:rsidP="00660C61">
            <w:pPr>
              <w:spacing w:after="0" w:line="240" w:lineRule="auto"/>
              <w:jc w:val="center"/>
              <w:rPr>
                <w:rFonts w:ascii="Arial" w:eastAsia="Times New Roman" w:hAnsi="Arial" w:cs="Arial"/>
                <w:b/>
                <w:i/>
                <w:sz w:val="18"/>
                <w:szCs w:val="18"/>
                <w:lang w:val="mk-MK"/>
              </w:rPr>
            </w:pPr>
            <w:r w:rsidRPr="00223692">
              <w:rPr>
                <w:rFonts w:ascii="Arial" w:eastAsia="Times New Roman" w:hAnsi="Arial" w:cs="Arial"/>
                <w:b/>
                <w:i/>
                <w:sz w:val="18"/>
                <w:szCs w:val="18"/>
                <w:lang w:val="mk-MK"/>
              </w:rPr>
              <w:t>Rreziku</w:t>
            </w:r>
          </w:p>
        </w:tc>
        <w:tc>
          <w:tcPr>
            <w:tcW w:w="2505" w:type="dxa"/>
            <w:tcBorders>
              <w:top w:val="single" w:sz="4" w:space="0" w:color="000000"/>
              <w:left w:val="single" w:sz="4" w:space="0" w:color="000000"/>
              <w:bottom w:val="single" w:sz="4" w:space="0" w:color="000000"/>
              <w:right w:val="single" w:sz="4" w:space="0" w:color="000000"/>
            </w:tcBorders>
            <w:shd w:val="clear" w:color="auto" w:fill="D9D9D9"/>
          </w:tcPr>
          <w:p w14:paraId="66CC6D4C" w14:textId="77777777" w:rsidR="00B20959" w:rsidRPr="00223692" w:rsidRDefault="00B20959" w:rsidP="00660C61">
            <w:pPr>
              <w:spacing w:after="0" w:line="240" w:lineRule="auto"/>
              <w:jc w:val="center"/>
              <w:rPr>
                <w:rFonts w:ascii="Arial" w:eastAsia="Times New Roman" w:hAnsi="Arial" w:cs="Arial"/>
                <w:b/>
                <w:i/>
                <w:sz w:val="18"/>
                <w:szCs w:val="18"/>
                <w:lang w:val="mk-MK"/>
              </w:rPr>
            </w:pPr>
            <w:r w:rsidRPr="00223692">
              <w:rPr>
                <w:rFonts w:ascii="Arial" w:eastAsia="Times New Roman" w:hAnsi="Arial" w:cs="Arial"/>
                <w:b/>
                <w:i/>
                <w:sz w:val="18"/>
                <w:szCs w:val="18"/>
                <w:lang w:val="mk-MK"/>
              </w:rPr>
              <w:t>Aktiviteti</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Pr>
          <w:p w14:paraId="4B89F52B" w14:textId="77777777" w:rsidR="00B20959" w:rsidRPr="00223692" w:rsidRDefault="00B20959" w:rsidP="00660C61">
            <w:pPr>
              <w:spacing w:after="0" w:line="240" w:lineRule="auto"/>
              <w:jc w:val="center"/>
              <w:rPr>
                <w:rFonts w:ascii="Arial" w:eastAsia="Times New Roman" w:hAnsi="Arial" w:cs="Arial"/>
                <w:b/>
                <w:i/>
                <w:sz w:val="18"/>
                <w:szCs w:val="18"/>
                <w:lang w:val="mk-MK"/>
              </w:rPr>
            </w:pPr>
            <w:r w:rsidRPr="00223692">
              <w:rPr>
                <w:rFonts w:ascii="Arial" w:eastAsia="Times New Roman" w:hAnsi="Arial" w:cs="Arial"/>
                <w:b/>
                <w:i/>
                <w:sz w:val="18"/>
                <w:szCs w:val="18"/>
                <w:lang w:val="mk-MK"/>
              </w:rPr>
              <w:t>Masa</w:t>
            </w:r>
          </w:p>
        </w:tc>
        <w:tc>
          <w:tcPr>
            <w:tcW w:w="3599" w:type="dxa"/>
            <w:tcBorders>
              <w:top w:val="single" w:sz="4" w:space="0" w:color="000000"/>
              <w:left w:val="single" w:sz="4" w:space="0" w:color="000000"/>
              <w:bottom w:val="single" w:sz="4" w:space="0" w:color="000000"/>
              <w:right w:val="single" w:sz="4" w:space="0" w:color="000000"/>
            </w:tcBorders>
            <w:shd w:val="clear" w:color="auto" w:fill="D9D9D9"/>
          </w:tcPr>
          <w:p w14:paraId="068F566E" w14:textId="77777777" w:rsidR="00B20959" w:rsidRPr="00223692" w:rsidRDefault="00B20959" w:rsidP="00660C61">
            <w:pPr>
              <w:spacing w:after="0" w:line="240" w:lineRule="auto"/>
              <w:jc w:val="center"/>
              <w:rPr>
                <w:rFonts w:ascii="Arial" w:eastAsia="Times New Roman" w:hAnsi="Arial" w:cs="Arial"/>
                <w:b/>
                <w:i/>
                <w:sz w:val="18"/>
                <w:szCs w:val="18"/>
                <w:lang w:val="mk-MK"/>
              </w:rPr>
            </w:pPr>
            <w:r w:rsidRPr="00223692">
              <w:rPr>
                <w:rFonts w:ascii="Arial" w:eastAsia="Times New Roman" w:hAnsi="Arial" w:cs="Arial"/>
                <w:b/>
                <w:i/>
                <w:sz w:val="18"/>
                <w:szCs w:val="18"/>
                <w:lang w:val="mk-MK"/>
              </w:rPr>
              <w:t>Mbajtës/njësi organizative kompetente</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43F36B57" w14:textId="77777777" w:rsidR="00B20959" w:rsidRPr="00223692" w:rsidRDefault="00B20959" w:rsidP="00660C61">
            <w:pPr>
              <w:spacing w:after="0" w:line="240" w:lineRule="auto"/>
              <w:jc w:val="center"/>
              <w:rPr>
                <w:rFonts w:ascii="Arial" w:eastAsia="Times New Roman" w:hAnsi="Arial" w:cs="Arial"/>
                <w:b/>
                <w:i/>
                <w:sz w:val="18"/>
                <w:szCs w:val="18"/>
                <w:lang w:val="mk-MK"/>
              </w:rPr>
            </w:pPr>
            <w:r w:rsidRPr="00223692">
              <w:rPr>
                <w:rFonts w:ascii="Arial" w:eastAsia="Times New Roman" w:hAnsi="Arial" w:cs="Arial"/>
                <w:b/>
                <w:i/>
                <w:sz w:val="18"/>
                <w:szCs w:val="18"/>
                <w:lang w:val="mk-MK"/>
              </w:rPr>
              <w:t>Afati i zbatimit</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6C69B6FA" w14:textId="77777777" w:rsidR="00B20959" w:rsidRPr="00223692" w:rsidRDefault="00B20959" w:rsidP="00660C61">
            <w:pPr>
              <w:spacing w:after="0" w:line="240" w:lineRule="auto"/>
              <w:jc w:val="center"/>
              <w:rPr>
                <w:rFonts w:ascii="Arial" w:eastAsia="Times New Roman" w:hAnsi="Arial" w:cs="Arial"/>
                <w:b/>
                <w:i/>
                <w:sz w:val="18"/>
                <w:szCs w:val="18"/>
                <w:lang w:val="mk-MK"/>
              </w:rPr>
            </w:pPr>
            <w:r w:rsidRPr="00223692">
              <w:rPr>
                <w:rFonts w:ascii="Arial" w:eastAsia="Times New Roman" w:hAnsi="Arial" w:cs="Arial"/>
                <w:b/>
                <w:i/>
                <w:sz w:val="18"/>
                <w:szCs w:val="18"/>
                <w:lang w:val="mk-MK"/>
              </w:rPr>
              <w:t>Implikimet financiare</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2E9D94E0" w14:textId="77777777" w:rsidR="00B20959" w:rsidRPr="00223692" w:rsidRDefault="00B20959" w:rsidP="00660C61">
            <w:pPr>
              <w:spacing w:after="0" w:line="240" w:lineRule="auto"/>
              <w:jc w:val="center"/>
              <w:rPr>
                <w:rFonts w:ascii="Arial" w:eastAsia="Times New Roman" w:hAnsi="Arial" w:cs="Arial"/>
                <w:b/>
                <w:i/>
                <w:sz w:val="18"/>
                <w:szCs w:val="18"/>
                <w:lang w:val="mk-MK"/>
              </w:rPr>
            </w:pPr>
            <w:r w:rsidRPr="00223692">
              <w:rPr>
                <w:rFonts w:ascii="Arial" w:eastAsia="Times New Roman" w:hAnsi="Arial" w:cs="Arial"/>
                <w:b/>
                <w:i/>
                <w:sz w:val="18"/>
                <w:szCs w:val="18"/>
                <w:lang w:val="mk-MK"/>
              </w:rPr>
              <w:t>Vlerësimi i rrezikut</w:t>
            </w:r>
          </w:p>
        </w:tc>
      </w:tr>
      <w:tr w:rsidR="00223692" w:rsidRPr="00223692" w14:paraId="68CEFE56" w14:textId="77777777" w:rsidTr="00660C61">
        <w:trPr>
          <w:trHeight w:val="728"/>
        </w:trPr>
        <w:tc>
          <w:tcPr>
            <w:tcW w:w="1786" w:type="dxa"/>
            <w:tcBorders>
              <w:top w:val="single" w:sz="4" w:space="0" w:color="000000"/>
              <w:left w:val="single" w:sz="4" w:space="0" w:color="000000"/>
              <w:right w:val="single" w:sz="4" w:space="0" w:color="000000"/>
            </w:tcBorders>
          </w:tcPr>
          <w:p w14:paraId="378408AD" w14:textId="77777777" w:rsidR="00B20959" w:rsidRPr="00223692" w:rsidRDefault="00B20959" w:rsidP="00660C61">
            <w:pPr>
              <w:spacing w:after="0" w:line="240" w:lineRule="auto"/>
              <w:jc w:val="center"/>
              <w:rPr>
                <w:rFonts w:ascii="Arial" w:hAnsi="Arial" w:cs="Arial"/>
                <w:sz w:val="18"/>
                <w:szCs w:val="18"/>
                <w:lang w:val="mk-MK"/>
              </w:rPr>
            </w:pPr>
          </w:p>
          <w:p w14:paraId="5F4D9E33" w14:textId="77777777" w:rsidR="00B20959" w:rsidRPr="00223692" w:rsidRDefault="00B20959" w:rsidP="009F2804">
            <w:pPr>
              <w:spacing w:after="0" w:line="240" w:lineRule="auto"/>
              <w:jc w:val="center"/>
              <w:rPr>
                <w:rFonts w:ascii="Arial" w:eastAsia="Times New Roman" w:hAnsi="Arial" w:cs="Arial"/>
                <w:sz w:val="18"/>
                <w:szCs w:val="18"/>
                <w:lang w:val="mk-MK"/>
              </w:rPr>
            </w:pPr>
            <w:r w:rsidRPr="00223692">
              <w:rPr>
                <w:rFonts w:ascii="Arial" w:hAnsi="Arial" w:cs="Arial"/>
                <w:sz w:val="18"/>
                <w:szCs w:val="18"/>
                <w:lang w:val="mk-MK"/>
              </w:rPr>
              <w:t>Planifikimi jo adekuat i nevojave dhe procedurave të prokurimit publik</w:t>
            </w:r>
          </w:p>
        </w:tc>
        <w:tc>
          <w:tcPr>
            <w:tcW w:w="2505" w:type="dxa"/>
            <w:tcBorders>
              <w:top w:val="single" w:sz="4" w:space="0" w:color="000000"/>
              <w:left w:val="single" w:sz="4" w:space="0" w:color="000000"/>
              <w:right w:val="single" w:sz="4" w:space="0" w:color="000000"/>
            </w:tcBorders>
          </w:tcPr>
          <w:p w14:paraId="3FBB0410" w14:textId="77777777" w:rsidR="00B20959" w:rsidRPr="00223692" w:rsidRDefault="00B20959" w:rsidP="009F2804">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Inkurajimi i qëndrueshmërisë së vazhdueshme në përputhje me legjislacionin përkatës dhe procedurat e brendshme ISO për të gjithë personat që marrin pjesë në procesin e prokurimit publik</w:t>
            </w:r>
          </w:p>
        </w:tc>
        <w:tc>
          <w:tcPr>
            <w:tcW w:w="1995" w:type="dxa"/>
            <w:tcBorders>
              <w:top w:val="single" w:sz="4" w:space="0" w:color="000000"/>
              <w:left w:val="single" w:sz="4" w:space="0" w:color="000000"/>
              <w:bottom w:val="single" w:sz="4" w:space="0" w:color="000000"/>
              <w:right w:val="single" w:sz="4" w:space="0" w:color="000000"/>
            </w:tcBorders>
          </w:tcPr>
          <w:p w14:paraId="0497A51F" w14:textId="77777777" w:rsidR="00B20959" w:rsidRPr="00223692" w:rsidRDefault="00B20959" w:rsidP="009F2804">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Analiza dhe vlerësime objektive të prokurimit publik</w:t>
            </w:r>
          </w:p>
          <w:p w14:paraId="48A6386E" w14:textId="77777777" w:rsidR="00CA37FC" w:rsidRPr="00223692" w:rsidRDefault="00B20959" w:rsidP="009F2804">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Përfshirja e shumë njerëzve në planifikimin e prokurimit publik</w:t>
            </w:r>
          </w:p>
        </w:tc>
        <w:tc>
          <w:tcPr>
            <w:tcW w:w="3599" w:type="dxa"/>
            <w:tcBorders>
              <w:top w:val="single" w:sz="4" w:space="0" w:color="000000"/>
              <w:left w:val="single" w:sz="4" w:space="0" w:color="000000"/>
              <w:bottom w:val="single" w:sz="4" w:space="0" w:color="000000"/>
              <w:right w:val="single" w:sz="4" w:space="0" w:color="000000"/>
            </w:tcBorders>
          </w:tcPr>
          <w:p w14:paraId="2BCFA735"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584E6E86"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53F2F574" w14:textId="77777777" w:rsidR="00B20959" w:rsidRPr="00223692" w:rsidRDefault="00B20959" w:rsidP="009F2804">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Të gjitha njësitë organizative në shërbimin profesional të Agjencisë</w:t>
            </w:r>
          </w:p>
          <w:p w14:paraId="2ABF36C3"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04A4A598" w14:textId="77777777" w:rsidR="00B20959" w:rsidRPr="00223692" w:rsidRDefault="00B20959" w:rsidP="00660C61">
            <w:pPr>
              <w:spacing w:after="0" w:line="240" w:lineRule="auto"/>
              <w:jc w:val="center"/>
              <w:rPr>
                <w:rFonts w:ascii="Arial" w:eastAsia="Times New Roman" w:hAnsi="Arial" w:cs="Arial"/>
                <w:sz w:val="18"/>
                <w:szCs w:val="18"/>
                <w:lang w:val="mk-MK"/>
              </w:rPr>
            </w:pPr>
          </w:p>
        </w:tc>
        <w:tc>
          <w:tcPr>
            <w:tcW w:w="1440" w:type="dxa"/>
            <w:tcBorders>
              <w:top w:val="single" w:sz="4" w:space="0" w:color="000000"/>
              <w:left w:val="single" w:sz="4" w:space="0" w:color="000000"/>
              <w:bottom w:val="single" w:sz="4" w:space="0" w:color="000000"/>
              <w:right w:val="single" w:sz="4" w:space="0" w:color="000000"/>
            </w:tcBorders>
          </w:tcPr>
          <w:p w14:paraId="3B716806"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08B083AD"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76B840FC"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15A20C25"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04B8A004"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9DF7240" w14:textId="77777777" w:rsidR="00B20959" w:rsidRPr="00223692" w:rsidRDefault="004C0111" w:rsidP="00CA37FC">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vazhdimisht</w:t>
            </w:r>
          </w:p>
        </w:tc>
        <w:tc>
          <w:tcPr>
            <w:tcW w:w="1350" w:type="dxa"/>
            <w:tcBorders>
              <w:top w:val="single" w:sz="4" w:space="0" w:color="000000"/>
              <w:left w:val="single" w:sz="4" w:space="0" w:color="000000"/>
              <w:bottom w:val="single" w:sz="4" w:space="0" w:color="000000"/>
              <w:right w:val="single" w:sz="4" w:space="0" w:color="000000"/>
            </w:tcBorders>
          </w:tcPr>
          <w:p w14:paraId="4C2ECEF3"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AC627FB"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5EF88AA5"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7FEBBA33"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115323B3"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D8D5688" w14:textId="77777777" w:rsidR="00B20959" w:rsidRPr="00223692" w:rsidRDefault="00CA37FC" w:rsidP="00CA37FC">
            <w:pPr>
              <w:spacing w:after="0" w:line="240" w:lineRule="auto"/>
              <w:rPr>
                <w:rFonts w:ascii="Arial" w:eastAsia="Times New Roman" w:hAnsi="Arial" w:cs="Arial"/>
                <w:sz w:val="18"/>
                <w:szCs w:val="18"/>
                <w:lang w:val="mk-MK"/>
              </w:rPr>
            </w:pPr>
            <w:r w:rsidRPr="00223692">
              <w:rPr>
                <w:rFonts w:ascii="Arial" w:eastAsia="Times New Roman" w:hAnsi="Arial" w:cs="Arial"/>
                <w:sz w:val="18"/>
                <w:szCs w:val="18"/>
                <w:lang w:val="mk-MK"/>
              </w:rPr>
              <w:t>nuk ka</w:t>
            </w:r>
          </w:p>
        </w:tc>
        <w:tc>
          <w:tcPr>
            <w:tcW w:w="1350" w:type="dxa"/>
            <w:tcBorders>
              <w:top w:val="single" w:sz="4" w:space="0" w:color="000000"/>
              <w:left w:val="single" w:sz="4" w:space="0" w:color="000000"/>
              <w:bottom w:val="single" w:sz="4" w:space="0" w:color="000000"/>
              <w:right w:val="single" w:sz="4" w:space="0" w:color="000000"/>
            </w:tcBorders>
          </w:tcPr>
          <w:p w14:paraId="723D6456"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83F3BA4"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6CDFDAEB"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62DE4921"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04A8563A"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49009D60" w14:textId="77777777" w:rsidR="00B20959" w:rsidRPr="00223692" w:rsidRDefault="004C0111" w:rsidP="00CA37FC">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të kontrolluara</w:t>
            </w:r>
          </w:p>
          <w:p w14:paraId="37A24F75" w14:textId="77777777" w:rsidR="00B20959" w:rsidRPr="00223692" w:rsidRDefault="00B20959" w:rsidP="00660C61">
            <w:pPr>
              <w:spacing w:after="0" w:line="240" w:lineRule="auto"/>
              <w:jc w:val="center"/>
              <w:rPr>
                <w:rFonts w:ascii="Arial" w:eastAsia="Times New Roman" w:hAnsi="Arial" w:cs="Arial"/>
                <w:sz w:val="18"/>
                <w:szCs w:val="18"/>
                <w:lang w:val="mk-MK"/>
              </w:rPr>
            </w:pPr>
          </w:p>
        </w:tc>
      </w:tr>
      <w:tr w:rsidR="00223692" w:rsidRPr="00223692" w14:paraId="0DB54693" w14:textId="77777777" w:rsidTr="00660C61">
        <w:trPr>
          <w:trHeight w:val="728"/>
        </w:trPr>
        <w:tc>
          <w:tcPr>
            <w:tcW w:w="1786" w:type="dxa"/>
            <w:tcBorders>
              <w:left w:val="single" w:sz="4" w:space="0" w:color="000000"/>
              <w:right w:val="single" w:sz="4" w:space="0" w:color="000000"/>
            </w:tcBorders>
          </w:tcPr>
          <w:p w14:paraId="68002A57" w14:textId="77777777" w:rsidR="00B20959" w:rsidRPr="00223692" w:rsidRDefault="00B20959" w:rsidP="009F2804">
            <w:pPr>
              <w:spacing w:after="0" w:line="240" w:lineRule="auto"/>
              <w:jc w:val="center"/>
              <w:rPr>
                <w:rFonts w:ascii="Arial" w:hAnsi="Arial" w:cs="Arial"/>
                <w:sz w:val="18"/>
                <w:szCs w:val="20"/>
                <w:lang w:val="mk-MK"/>
              </w:rPr>
            </w:pPr>
            <w:r w:rsidRPr="00223692">
              <w:rPr>
                <w:rFonts w:ascii="Arial" w:hAnsi="Arial" w:cs="Arial"/>
                <w:sz w:val="18"/>
                <w:szCs w:val="20"/>
              </w:rPr>
              <w:t xml:space="preserve">Kontroll </w:t>
            </w:r>
            <w:r w:rsidRPr="00223692">
              <w:rPr>
                <w:rFonts w:ascii="Arial" w:hAnsi="Arial" w:cs="Arial"/>
                <w:sz w:val="18"/>
                <w:szCs w:val="20"/>
                <w:lang w:val="mk-MK"/>
              </w:rPr>
              <w:t>i pamjaftueshëm</w:t>
            </w:r>
            <w:r w:rsidRPr="00223692">
              <w:rPr>
                <w:rFonts w:ascii="Arial" w:hAnsi="Arial" w:cs="Arial"/>
                <w:sz w:val="18"/>
                <w:szCs w:val="20"/>
              </w:rPr>
              <w:t xml:space="preserve"> në </w:t>
            </w:r>
            <w:r w:rsidRPr="00223692">
              <w:rPr>
                <w:rFonts w:ascii="Arial" w:hAnsi="Arial" w:cs="Arial"/>
                <w:sz w:val="18"/>
                <w:szCs w:val="20"/>
                <w:lang w:val="mk-MK"/>
              </w:rPr>
              <w:t>Agjencia</w:t>
            </w:r>
            <w:r w:rsidRPr="00223692">
              <w:rPr>
                <w:rFonts w:ascii="Arial" w:hAnsi="Arial" w:cs="Arial"/>
                <w:sz w:val="18"/>
                <w:szCs w:val="20"/>
              </w:rPr>
              <w:t xml:space="preserve"> në zbatimin në  kontratat </w:t>
            </w:r>
            <w:r w:rsidRPr="00223692">
              <w:rPr>
                <w:rFonts w:ascii="Arial" w:hAnsi="Arial" w:cs="Arial"/>
                <w:sz w:val="18"/>
                <w:szCs w:val="20"/>
                <w:lang w:val="mk-MK"/>
              </w:rPr>
              <w:t>e prokurimit publik</w:t>
            </w:r>
          </w:p>
        </w:tc>
        <w:tc>
          <w:tcPr>
            <w:tcW w:w="2505" w:type="dxa"/>
            <w:tcBorders>
              <w:left w:val="single" w:sz="4" w:space="0" w:color="000000"/>
              <w:right w:val="single" w:sz="4" w:space="0" w:color="000000"/>
            </w:tcBorders>
          </w:tcPr>
          <w:p w14:paraId="69654A88" w14:textId="77777777" w:rsidR="00DE3551" w:rsidRDefault="00DE3551" w:rsidP="00DE3551">
            <w:pPr>
              <w:spacing w:after="0" w:line="240" w:lineRule="auto"/>
              <w:jc w:val="center"/>
              <w:rPr>
                <w:rFonts w:ascii="Arial" w:eastAsia="Times New Roman" w:hAnsi="Arial" w:cs="Arial"/>
                <w:sz w:val="18"/>
                <w:szCs w:val="20"/>
                <w:lang w:val="mk-MK"/>
              </w:rPr>
            </w:pPr>
          </w:p>
          <w:p w14:paraId="6DE93811" w14:textId="77777777" w:rsidR="00B20959" w:rsidRDefault="00B20959" w:rsidP="00DE3551">
            <w:pPr>
              <w:spacing w:after="0" w:line="240" w:lineRule="auto"/>
              <w:jc w:val="center"/>
              <w:rPr>
                <w:rFonts w:ascii="Arial" w:eastAsia="Times New Roman" w:hAnsi="Arial" w:cs="Arial"/>
                <w:sz w:val="18"/>
                <w:szCs w:val="20"/>
                <w:lang w:val="mk-MK"/>
              </w:rPr>
            </w:pPr>
            <w:r w:rsidRPr="00223692">
              <w:rPr>
                <w:rFonts w:ascii="Arial" w:eastAsia="Times New Roman" w:hAnsi="Arial" w:cs="Arial"/>
                <w:sz w:val="18"/>
                <w:szCs w:val="20"/>
                <w:lang w:val="mk-MK"/>
              </w:rPr>
              <w:t>Përfshirja më e madhe e të gjithë sektorëve në monitorimin e zbatimit të kontratave të lidhura të prokurimit publik, brenda juridiksionit të tyre,</w:t>
            </w:r>
          </w:p>
          <w:p w14:paraId="2718DD43" w14:textId="77777777" w:rsidR="00DE3551" w:rsidRPr="000634CC" w:rsidRDefault="00DE3551" w:rsidP="000634CC">
            <w:pPr>
              <w:spacing w:after="0" w:line="240" w:lineRule="auto"/>
              <w:jc w:val="center"/>
              <w:rPr>
                <w:rFonts w:ascii="Arial" w:hAnsi="Arial" w:cs="Arial"/>
                <w:color w:val="212121"/>
                <w:sz w:val="18"/>
                <w:szCs w:val="18"/>
                <w:lang w:val="mk-MK"/>
              </w:rPr>
            </w:pPr>
            <w:r w:rsidRPr="00DE3551">
              <w:rPr>
                <w:rFonts w:ascii="Arial" w:hAnsi="Arial" w:cs="Arial"/>
                <w:color w:val="212121"/>
                <w:sz w:val="18"/>
                <w:szCs w:val="18"/>
                <w:lang w:val="mk-MK"/>
              </w:rPr>
              <w:t xml:space="preserve">me </w:t>
            </w:r>
            <w:r w:rsidRPr="00DE3551">
              <w:rPr>
                <w:rFonts w:ascii="Arial" w:hAnsi="Arial" w:cs="Arial"/>
                <w:color w:val="212121"/>
                <w:sz w:val="18"/>
                <w:szCs w:val="18"/>
              </w:rPr>
              <w:t xml:space="preserve">takim person për </w:t>
            </w:r>
            <w:r w:rsidRPr="00DE3551">
              <w:rPr>
                <w:rFonts w:ascii="Arial" w:hAnsi="Arial" w:cs="Arial"/>
                <w:color w:val="212121"/>
                <w:sz w:val="18"/>
                <w:szCs w:val="18"/>
                <w:lang w:val="mk-MK"/>
              </w:rPr>
              <w:t>monitorim</w:t>
            </w:r>
            <w:r w:rsidRPr="00DE3551">
              <w:rPr>
                <w:rFonts w:ascii="Arial" w:hAnsi="Arial" w:cs="Arial"/>
                <w:color w:val="212121"/>
                <w:sz w:val="18"/>
                <w:szCs w:val="18"/>
              </w:rPr>
              <w:t xml:space="preserve"> realizimi në </w:t>
            </w:r>
            <w:r w:rsidRPr="00DE3551">
              <w:rPr>
                <w:rFonts w:ascii="Arial" w:hAnsi="Arial" w:cs="Arial"/>
                <w:color w:val="212121"/>
                <w:sz w:val="18"/>
                <w:szCs w:val="18"/>
                <w:lang w:val="mk-MK"/>
              </w:rPr>
              <w:t>kontratat</w:t>
            </w:r>
          </w:p>
        </w:tc>
        <w:tc>
          <w:tcPr>
            <w:tcW w:w="1995" w:type="dxa"/>
            <w:tcBorders>
              <w:top w:val="single" w:sz="4" w:space="0" w:color="000000"/>
              <w:left w:val="single" w:sz="4" w:space="0" w:color="000000"/>
              <w:bottom w:val="single" w:sz="4" w:space="0" w:color="000000"/>
              <w:right w:val="single" w:sz="4" w:space="0" w:color="000000"/>
            </w:tcBorders>
          </w:tcPr>
          <w:p w14:paraId="7FED1B31" w14:textId="77777777" w:rsidR="00102198" w:rsidRDefault="00102198" w:rsidP="009F2804">
            <w:pPr>
              <w:spacing w:after="0" w:line="240" w:lineRule="auto"/>
              <w:jc w:val="center"/>
              <w:rPr>
                <w:rFonts w:ascii="Arial" w:eastAsia="Times New Roman" w:hAnsi="Arial" w:cs="Arial"/>
                <w:sz w:val="18"/>
                <w:szCs w:val="20"/>
                <w:lang w:val="mk-MK"/>
              </w:rPr>
            </w:pPr>
          </w:p>
          <w:p w14:paraId="46392E6C" w14:textId="77777777" w:rsidR="00CA37FC" w:rsidRPr="00223692" w:rsidRDefault="00B20959" w:rsidP="009F2804">
            <w:pPr>
              <w:spacing w:after="0" w:line="240" w:lineRule="auto"/>
              <w:jc w:val="center"/>
              <w:rPr>
                <w:rFonts w:ascii="Arial" w:eastAsia="Times New Roman" w:hAnsi="Arial" w:cs="Arial"/>
                <w:sz w:val="18"/>
                <w:szCs w:val="20"/>
                <w:lang w:val="mk-MK"/>
              </w:rPr>
            </w:pPr>
            <w:r w:rsidRPr="00223692">
              <w:rPr>
                <w:rFonts w:ascii="Arial" w:eastAsia="Times New Roman" w:hAnsi="Arial" w:cs="Arial"/>
                <w:sz w:val="18"/>
                <w:szCs w:val="20"/>
                <w:lang w:val="mk-MK"/>
              </w:rPr>
              <w:t>Raportet për shërbimet e kryera/mallrat e kryera nga njësia organizative kompetente</w:t>
            </w:r>
          </w:p>
        </w:tc>
        <w:tc>
          <w:tcPr>
            <w:tcW w:w="3599" w:type="dxa"/>
            <w:tcBorders>
              <w:top w:val="single" w:sz="4" w:space="0" w:color="000000"/>
              <w:left w:val="single" w:sz="4" w:space="0" w:color="000000"/>
              <w:bottom w:val="single" w:sz="4" w:space="0" w:color="000000"/>
              <w:right w:val="single" w:sz="4" w:space="0" w:color="000000"/>
            </w:tcBorders>
          </w:tcPr>
          <w:p w14:paraId="1AB6B662" w14:textId="77777777" w:rsidR="00B20959" w:rsidRDefault="00213FD3" w:rsidP="00250174">
            <w:pPr>
              <w:spacing w:after="0" w:line="240" w:lineRule="auto"/>
              <w:jc w:val="center"/>
              <w:rPr>
                <w:rFonts w:ascii="Arial" w:hAnsi="Arial" w:cs="Arial"/>
                <w:sz w:val="18"/>
                <w:szCs w:val="18"/>
                <w:lang w:val="mk-MK"/>
              </w:rPr>
            </w:pPr>
            <w:r w:rsidRPr="00223692">
              <w:rPr>
                <w:rFonts w:ascii="Arial" w:hAnsi="Arial" w:cs="Arial"/>
                <w:sz w:val="18"/>
                <w:szCs w:val="18"/>
                <w:lang w:val="mk-MK"/>
              </w:rPr>
              <w:t>Sektori për Çështjet Ligjore dhe Prokurimet Publike, Departamenti i Prokurimit Publik</w:t>
            </w:r>
          </w:p>
          <w:p w14:paraId="6E7F9C93" w14:textId="77777777" w:rsidR="00213FD3" w:rsidRPr="00223692" w:rsidRDefault="00213FD3" w:rsidP="00660C61">
            <w:pPr>
              <w:spacing w:after="0" w:line="240" w:lineRule="auto"/>
              <w:jc w:val="center"/>
              <w:rPr>
                <w:rFonts w:ascii="Arial" w:hAnsi="Arial" w:cs="Arial"/>
                <w:sz w:val="18"/>
                <w:szCs w:val="20"/>
                <w:lang w:val="mk-MK"/>
              </w:rPr>
            </w:pPr>
          </w:p>
          <w:p w14:paraId="30A69E7A" w14:textId="77777777" w:rsidR="00B20959" w:rsidRPr="00223692" w:rsidRDefault="00B20959" w:rsidP="00660C61">
            <w:pPr>
              <w:spacing w:after="0" w:line="240" w:lineRule="auto"/>
              <w:jc w:val="center"/>
              <w:rPr>
                <w:rFonts w:ascii="Arial" w:hAnsi="Arial" w:cs="Arial"/>
                <w:sz w:val="18"/>
                <w:szCs w:val="20"/>
                <w:lang w:val="mk-MK"/>
              </w:rPr>
            </w:pPr>
            <w:r w:rsidRPr="00223692">
              <w:rPr>
                <w:rFonts w:ascii="Arial" w:eastAsia="Times New Roman" w:hAnsi="Arial" w:cs="Arial"/>
                <w:sz w:val="18"/>
                <w:szCs w:val="20"/>
                <w:lang w:val="mk-MK"/>
              </w:rPr>
              <w:t>Të gjitha njësitë organizative në shërbimin profesional të Agjencisë</w:t>
            </w:r>
          </w:p>
        </w:tc>
        <w:tc>
          <w:tcPr>
            <w:tcW w:w="1440" w:type="dxa"/>
            <w:tcBorders>
              <w:top w:val="single" w:sz="4" w:space="0" w:color="000000"/>
              <w:left w:val="single" w:sz="4" w:space="0" w:color="000000"/>
              <w:bottom w:val="single" w:sz="4" w:space="0" w:color="000000"/>
              <w:right w:val="single" w:sz="4" w:space="0" w:color="000000"/>
            </w:tcBorders>
          </w:tcPr>
          <w:p w14:paraId="031A7788"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29683B47"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1EB6E658" w14:textId="77777777" w:rsidR="00B20959" w:rsidRPr="00223692" w:rsidRDefault="004C0111" w:rsidP="00CA37FC">
            <w:pPr>
              <w:spacing w:after="0" w:line="240" w:lineRule="auto"/>
              <w:rPr>
                <w:rFonts w:ascii="Arial" w:eastAsia="Times New Roman" w:hAnsi="Arial" w:cs="Arial"/>
                <w:sz w:val="18"/>
                <w:szCs w:val="20"/>
                <w:lang w:val="mk-MK"/>
              </w:rPr>
            </w:pPr>
            <w:r>
              <w:rPr>
                <w:rFonts w:ascii="Arial" w:eastAsia="Times New Roman" w:hAnsi="Arial" w:cs="Arial"/>
                <w:sz w:val="18"/>
                <w:szCs w:val="20"/>
                <w:lang w:val="mk-MK"/>
              </w:rPr>
              <w:t>vazhdimisht</w:t>
            </w:r>
          </w:p>
        </w:tc>
        <w:tc>
          <w:tcPr>
            <w:tcW w:w="1350" w:type="dxa"/>
            <w:tcBorders>
              <w:top w:val="single" w:sz="4" w:space="0" w:color="000000"/>
              <w:left w:val="single" w:sz="4" w:space="0" w:color="000000"/>
              <w:bottom w:val="single" w:sz="4" w:space="0" w:color="000000"/>
              <w:right w:val="single" w:sz="4" w:space="0" w:color="000000"/>
            </w:tcBorders>
          </w:tcPr>
          <w:p w14:paraId="69AF7663"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0B5DAB8E"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238B162B" w14:textId="77777777" w:rsidR="00B20959" w:rsidRPr="00223692" w:rsidRDefault="00CA37FC" w:rsidP="00CA37FC">
            <w:pPr>
              <w:spacing w:after="0" w:line="240" w:lineRule="auto"/>
              <w:rPr>
                <w:rFonts w:ascii="Arial" w:eastAsia="Times New Roman" w:hAnsi="Arial" w:cs="Arial"/>
                <w:sz w:val="18"/>
                <w:szCs w:val="20"/>
                <w:lang w:val="mk-MK"/>
              </w:rPr>
            </w:pPr>
            <w:r w:rsidRPr="00223692">
              <w:rPr>
                <w:rFonts w:ascii="Arial" w:eastAsia="Times New Roman" w:hAnsi="Arial" w:cs="Arial"/>
                <w:sz w:val="18"/>
                <w:szCs w:val="20"/>
                <w:lang w:val="mk-MK"/>
              </w:rPr>
              <w:t>nuk ka</w:t>
            </w:r>
          </w:p>
        </w:tc>
        <w:tc>
          <w:tcPr>
            <w:tcW w:w="1350" w:type="dxa"/>
            <w:tcBorders>
              <w:top w:val="single" w:sz="4" w:space="0" w:color="000000"/>
              <w:left w:val="single" w:sz="4" w:space="0" w:color="000000"/>
              <w:bottom w:val="single" w:sz="4" w:space="0" w:color="000000"/>
              <w:right w:val="single" w:sz="4" w:space="0" w:color="000000"/>
            </w:tcBorders>
          </w:tcPr>
          <w:p w14:paraId="29DE3036"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4BEC511F"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43F0F35E" w14:textId="77777777" w:rsidR="00B20959" w:rsidRPr="00223692" w:rsidRDefault="004C0111" w:rsidP="00CA37FC">
            <w:pPr>
              <w:spacing w:after="0" w:line="240" w:lineRule="auto"/>
              <w:rPr>
                <w:rFonts w:ascii="Arial" w:eastAsia="Times New Roman" w:hAnsi="Arial" w:cs="Arial"/>
                <w:sz w:val="18"/>
                <w:szCs w:val="20"/>
                <w:lang w:val="mk-MK"/>
              </w:rPr>
            </w:pPr>
            <w:r>
              <w:rPr>
                <w:rFonts w:ascii="Arial" w:eastAsia="Times New Roman" w:hAnsi="Arial" w:cs="Arial"/>
                <w:sz w:val="18"/>
                <w:szCs w:val="20"/>
                <w:lang w:val="mk-MK"/>
              </w:rPr>
              <w:t>të kontrolluara</w:t>
            </w:r>
          </w:p>
        </w:tc>
      </w:tr>
      <w:tr w:rsidR="00223692" w:rsidRPr="00223692" w14:paraId="59A706D0" w14:textId="77777777" w:rsidTr="00660C61">
        <w:trPr>
          <w:trHeight w:val="728"/>
        </w:trPr>
        <w:tc>
          <w:tcPr>
            <w:tcW w:w="1786" w:type="dxa"/>
            <w:tcBorders>
              <w:left w:val="single" w:sz="4" w:space="0" w:color="000000"/>
              <w:bottom w:val="single" w:sz="4" w:space="0" w:color="000000"/>
              <w:right w:val="single" w:sz="4" w:space="0" w:color="000000"/>
            </w:tcBorders>
          </w:tcPr>
          <w:p w14:paraId="7E613EAE"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73AE8BC6"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0A3520CC"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Konflikti i interesit</w:t>
            </w:r>
          </w:p>
        </w:tc>
        <w:tc>
          <w:tcPr>
            <w:tcW w:w="2505" w:type="dxa"/>
            <w:tcBorders>
              <w:left w:val="single" w:sz="4" w:space="0" w:color="000000"/>
              <w:bottom w:val="single" w:sz="4" w:space="0" w:color="000000"/>
              <w:right w:val="single" w:sz="4" w:space="0" w:color="000000"/>
            </w:tcBorders>
          </w:tcPr>
          <w:p w14:paraId="3337DAF2"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00D74F88"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5F12D12C"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Raportimi i një konflikti të mundshëm interesi</w:t>
            </w:r>
          </w:p>
        </w:tc>
        <w:tc>
          <w:tcPr>
            <w:tcW w:w="1995" w:type="dxa"/>
            <w:tcBorders>
              <w:top w:val="single" w:sz="4" w:space="0" w:color="000000"/>
              <w:left w:val="single" w:sz="4" w:space="0" w:color="000000"/>
              <w:bottom w:val="single" w:sz="4" w:space="0" w:color="000000"/>
              <w:right w:val="single" w:sz="4" w:space="0" w:color="000000"/>
            </w:tcBorders>
          </w:tcPr>
          <w:p w14:paraId="6FEF6ABC" w14:textId="77777777" w:rsidR="00CA37FC" w:rsidRPr="00223692" w:rsidRDefault="00B20959" w:rsidP="009F2804">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 xml:space="preserve">Verifikimi i procedurës në rast të raportimit të konfliktit të interesit/zëvendësimit të pjesëmarrësit në </w:t>
            </w:r>
            <w:r w:rsidRPr="00223692">
              <w:rPr>
                <w:rFonts w:ascii="Arial" w:eastAsia="Times New Roman" w:hAnsi="Arial" w:cs="Arial"/>
                <w:sz w:val="18"/>
                <w:szCs w:val="18"/>
                <w:lang w:val="mk-MK"/>
              </w:rPr>
              <w:lastRenderedPageBreak/>
              <w:t>procesin e prokurimit publik</w:t>
            </w:r>
          </w:p>
        </w:tc>
        <w:tc>
          <w:tcPr>
            <w:tcW w:w="3599" w:type="dxa"/>
            <w:tcBorders>
              <w:top w:val="single" w:sz="4" w:space="0" w:color="000000"/>
              <w:left w:val="single" w:sz="4" w:space="0" w:color="000000"/>
              <w:bottom w:val="single" w:sz="4" w:space="0" w:color="000000"/>
              <w:right w:val="single" w:sz="4" w:space="0" w:color="000000"/>
            </w:tcBorders>
          </w:tcPr>
          <w:p w14:paraId="4EDEAD3A" w14:textId="77777777" w:rsidR="00B20959" w:rsidRPr="00223692" w:rsidRDefault="00B20959" w:rsidP="00660C61">
            <w:pPr>
              <w:spacing w:after="0" w:line="240" w:lineRule="auto"/>
              <w:jc w:val="center"/>
              <w:rPr>
                <w:rFonts w:ascii="Arial" w:hAnsi="Arial" w:cs="Arial"/>
                <w:sz w:val="18"/>
                <w:szCs w:val="18"/>
                <w:lang w:val="mk-MK"/>
              </w:rPr>
            </w:pPr>
          </w:p>
          <w:p w14:paraId="4FA85885" w14:textId="77777777" w:rsidR="00B20959" w:rsidRPr="00223692" w:rsidRDefault="00B20959" w:rsidP="00660C61">
            <w:pPr>
              <w:spacing w:after="0" w:line="240" w:lineRule="auto"/>
              <w:jc w:val="center"/>
              <w:rPr>
                <w:rFonts w:ascii="Arial" w:hAnsi="Arial" w:cs="Arial"/>
                <w:sz w:val="18"/>
                <w:szCs w:val="18"/>
                <w:lang w:val="mk-MK"/>
              </w:rPr>
            </w:pPr>
            <w:r w:rsidRPr="00223692">
              <w:rPr>
                <w:rFonts w:ascii="Arial" w:hAnsi="Arial" w:cs="Arial"/>
                <w:sz w:val="18"/>
                <w:szCs w:val="18"/>
                <w:lang w:val="mk-MK"/>
              </w:rPr>
              <w:t>Sektori për Çështjet Ligjore dhe Prokurimet Publike, Departamenti i Prokurimit Publik</w:t>
            </w:r>
          </w:p>
          <w:p w14:paraId="0858C6FA"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50D6246F" w14:textId="77777777" w:rsidR="00250174"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lastRenderedPageBreak/>
              <w:t>Personat e përfshirë në procedurë</w:t>
            </w:r>
          </w:p>
          <w:p w14:paraId="42409855" w14:textId="77777777" w:rsidR="00B20959" w:rsidRPr="00223692" w:rsidRDefault="00B20959" w:rsidP="00660C61">
            <w:pPr>
              <w:spacing w:after="0" w:line="240" w:lineRule="auto"/>
              <w:jc w:val="center"/>
              <w:rPr>
                <w:rFonts w:ascii="Arial" w:eastAsia="Times New Roman" w:hAnsi="Arial" w:cs="Arial"/>
                <w:sz w:val="18"/>
                <w:szCs w:val="18"/>
                <w:lang w:val="mk-MK"/>
              </w:rPr>
            </w:pPr>
            <w:r w:rsidRPr="00223692">
              <w:rPr>
                <w:rFonts w:ascii="Arial" w:eastAsia="Times New Roman" w:hAnsi="Arial" w:cs="Arial"/>
                <w:sz w:val="18"/>
                <w:szCs w:val="18"/>
                <w:lang w:val="mk-MK"/>
              </w:rPr>
              <w:t>për prokurimin publik</w:t>
            </w:r>
          </w:p>
        </w:tc>
        <w:tc>
          <w:tcPr>
            <w:tcW w:w="1440" w:type="dxa"/>
            <w:tcBorders>
              <w:top w:val="single" w:sz="4" w:space="0" w:color="000000"/>
              <w:left w:val="single" w:sz="4" w:space="0" w:color="000000"/>
              <w:bottom w:val="single" w:sz="4" w:space="0" w:color="000000"/>
              <w:right w:val="single" w:sz="4" w:space="0" w:color="000000"/>
            </w:tcBorders>
          </w:tcPr>
          <w:p w14:paraId="4320BED5"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5A45D5EE"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442D0286"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0DC69A36" w14:textId="77777777" w:rsidR="00B20959" w:rsidRPr="00223692" w:rsidRDefault="004C0111" w:rsidP="00CA37FC">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vazhdimisht</w:t>
            </w:r>
          </w:p>
        </w:tc>
        <w:tc>
          <w:tcPr>
            <w:tcW w:w="1350" w:type="dxa"/>
            <w:tcBorders>
              <w:top w:val="single" w:sz="4" w:space="0" w:color="000000"/>
              <w:left w:val="single" w:sz="4" w:space="0" w:color="000000"/>
              <w:bottom w:val="single" w:sz="4" w:space="0" w:color="000000"/>
              <w:right w:val="single" w:sz="4" w:space="0" w:color="000000"/>
            </w:tcBorders>
          </w:tcPr>
          <w:p w14:paraId="1716C0B1"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5EEB0D2E"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7A659777"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2670B6CE" w14:textId="77777777" w:rsidR="00B20959" w:rsidRPr="00223692" w:rsidRDefault="00CA37FC" w:rsidP="00CA37FC">
            <w:pPr>
              <w:spacing w:after="0" w:line="240" w:lineRule="auto"/>
              <w:rPr>
                <w:rFonts w:ascii="Arial" w:eastAsia="Times New Roman" w:hAnsi="Arial" w:cs="Arial"/>
                <w:sz w:val="18"/>
                <w:szCs w:val="18"/>
                <w:lang w:val="mk-MK"/>
              </w:rPr>
            </w:pPr>
            <w:r w:rsidRPr="00223692">
              <w:rPr>
                <w:rFonts w:ascii="Arial" w:eastAsia="Times New Roman" w:hAnsi="Arial" w:cs="Arial"/>
                <w:sz w:val="18"/>
                <w:szCs w:val="18"/>
                <w:lang w:val="mk-MK"/>
              </w:rPr>
              <w:t>nuk ka</w:t>
            </w:r>
          </w:p>
        </w:tc>
        <w:tc>
          <w:tcPr>
            <w:tcW w:w="1350" w:type="dxa"/>
            <w:tcBorders>
              <w:top w:val="single" w:sz="4" w:space="0" w:color="000000"/>
              <w:left w:val="single" w:sz="4" w:space="0" w:color="000000"/>
              <w:bottom w:val="single" w:sz="4" w:space="0" w:color="000000"/>
              <w:right w:val="single" w:sz="4" w:space="0" w:color="000000"/>
            </w:tcBorders>
          </w:tcPr>
          <w:p w14:paraId="4D21B901"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21C32FBC"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580B0701" w14:textId="77777777" w:rsidR="00B20959" w:rsidRPr="00223692" w:rsidRDefault="00B20959" w:rsidP="00660C61">
            <w:pPr>
              <w:spacing w:after="0" w:line="240" w:lineRule="auto"/>
              <w:jc w:val="center"/>
              <w:rPr>
                <w:rFonts w:ascii="Arial" w:eastAsia="Times New Roman" w:hAnsi="Arial" w:cs="Arial"/>
                <w:sz w:val="18"/>
                <w:szCs w:val="18"/>
                <w:lang w:val="mk-MK"/>
              </w:rPr>
            </w:pPr>
          </w:p>
          <w:p w14:paraId="3A1884AF" w14:textId="77777777" w:rsidR="00B20959" w:rsidRPr="00223692" w:rsidRDefault="004C0111" w:rsidP="00CA37FC">
            <w:pPr>
              <w:spacing w:after="0" w:line="240" w:lineRule="auto"/>
              <w:rPr>
                <w:rFonts w:ascii="Arial" w:eastAsia="Times New Roman" w:hAnsi="Arial" w:cs="Arial"/>
                <w:sz w:val="18"/>
                <w:szCs w:val="18"/>
                <w:lang w:val="mk-MK"/>
              </w:rPr>
            </w:pPr>
            <w:r>
              <w:rPr>
                <w:rFonts w:ascii="Arial" w:eastAsia="Times New Roman" w:hAnsi="Arial" w:cs="Arial"/>
                <w:sz w:val="18"/>
                <w:szCs w:val="18"/>
                <w:lang w:val="mk-MK"/>
              </w:rPr>
              <w:t>të kontrolluara</w:t>
            </w:r>
          </w:p>
        </w:tc>
      </w:tr>
      <w:tr w:rsidR="00223692" w:rsidRPr="00223692" w14:paraId="39AF85FB" w14:textId="77777777" w:rsidTr="000634CC">
        <w:trPr>
          <w:trHeight w:val="1817"/>
        </w:trPr>
        <w:tc>
          <w:tcPr>
            <w:tcW w:w="1786" w:type="dxa"/>
            <w:tcBorders>
              <w:left w:val="single" w:sz="4" w:space="0" w:color="000000"/>
              <w:right w:val="single" w:sz="4" w:space="0" w:color="000000"/>
            </w:tcBorders>
          </w:tcPr>
          <w:p w14:paraId="77BD4036" w14:textId="77777777" w:rsidR="00CA37FC" w:rsidRPr="00223692" w:rsidRDefault="00CA37FC" w:rsidP="00660C61">
            <w:pPr>
              <w:spacing w:after="0" w:line="240" w:lineRule="auto"/>
              <w:jc w:val="center"/>
              <w:rPr>
                <w:rFonts w:ascii="Arial" w:eastAsia="Times New Roman" w:hAnsi="Arial" w:cs="Arial"/>
                <w:sz w:val="18"/>
                <w:szCs w:val="20"/>
                <w:lang w:val="mk-MK"/>
              </w:rPr>
            </w:pPr>
          </w:p>
          <w:p w14:paraId="325551FA" w14:textId="77777777" w:rsidR="00B20959" w:rsidRPr="00223692" w:rsidRDefault="00B20959" w:rsidP="009F2804">
            <w:pPr>
              <w:spacing w:after="0" w:line="240" w:lineRule="auto"/>
              <w:jc w:val="center"/>
              <w:rPr>
                <w:rFonts w:ascii="Arial" w:eastAsia="Times New Roman" w:hAnsi="Arial" w:cs="Arial"/>
                <w:sz w:val="18"/>
                <w:szCs w:val="20"/>
                <w:lang w:val="mk-MK"/>
              </w:rPr>
            </w:pPr>
            <w:r w:rsidRPr="00223692">
              <w:rPr>
                <w:rFonts w:ascii="Arial" w:eastAsia="Times New Roman" w:hAnsi="Arial" w:cs="Arial"/>
                <w:sz w:val="18"/>
                <w:szCs w:val="20"/>
                <w:lang w:val="mk-MK"/>
              </w:rPr>
              <w:t>Përpjekjet për të ndikuar në procedurat e prokurimit publik</w:t>
            </w:r>
          </w:p>
        </w:tc>
        <w:tc>
          <w:tcPr>
            <w:tcW w:w="2505" w:type="dxa"/>
            <w:tcBorders>
              <w:left w:val="single" w:sz="4" w:space="0" w:color="000000"/>
              <w:right w:val="single" w:sz="4" w:space="0" w:color="000000"/>
            </w:tcBorders>
          </w:tcPr>
          <w:p w14:paraId="0E36AF20" w14:textId="77777777" w:rsidR="00CA37FC" w:rsidRPr="00223692" w:rsidRDefault="00CA37FC" w:rsidP="00660C61">
            <w:pPr>
              <w:spacing w:after="0" w:line="240" w:lineRule="auto"/>
              <w:jc w:val="center"/>
              <w:rPr>
                <w:rFonts w:ascii="Arial" w:eastAsia="Times New Roman" w:hAnsi="Arial" w:cs="Arial"/>
                <w:sz w:val="18"/>
                <w:szCs w:val="20"/>
                <w:lang w:val="mk-MK"/>
              </w:rPr>
            </w:pPr>
          </w:p>
          <w:p w14:paraId="62E92727" w14:textId="77777777" w:rsidR="00CA37FC" w:rsidRPr="00223692" w:rsidRDefault="00CA37FC" w:rsidP="00660C61">
            <w:pPr>
              <w:spacing w:after="0" w:line="240" w:lineRule="auto"/>
              <w:jc w:val="center"/>
              <w:rPr>
                <w:rFonts w:ascii="Arial" w:eastAsia="Times New Roman" w:hAnsi="Arial" w:cs="Arial"/>
                <w:sz w:val="18"/>
                <w:szCs w:val="20"/>
                <w:lang w:val="mk-MK"/>
              </w:rPr>
            </w:pPr>
          </w:p>
          <w:p w14:paraId="258FFCC7" w14:textId="77777777" w:rsidR="00B20959" w:rsidRDefault="00B20959" w:rsidP="00660C61">
            <w:pPr>
              <w:spacing w:after="0" w:line="240" w:lineRule="auto"/>
              <w:jc w:val="center"/>
              <w:rPr>
                <w:rFonts w:ascii="Arial" w:eastAsia="Times New Roman" w:hAnsi="Arial" w:cs="Arial"/>
                <w:sz w:val="18"/>
                <w:szCs w:val="20"/>
                <w:lang w:val="mk-MK"/>
              </w:rPr>
            </w:pPr>
            <w:r w:rsidRPr="00223692">
              <w:rPr>
                <w:rFonts w:ascii="Arial" w:eastAsia="Times New Roman" w:hAnsi="Arial" w:cs="Arial"/>
                <w:sz w:val="18"/>
                <w:szCs w:val="20"/>
                <w:lang w:val="mk-MK"/>
              </w:rPr>
              <w:t>Raportimi i një përpjekjeje për të ndikuar anëtarët e Komisioneve të Prokurimit Publik</w:t>
            </w:r>
          </w:p>
          <w:p w14:paraId="1FE13091" w14:textId="77777777" w:rsidR="00DE3551" w:rsidRDefault="00DE3551" w:rsidP="00660C61">
            <w:pPr>
              <w:spacing w:after="0" w:line="240" w:lineRule="auto"/>
              <w:jc w:val="center"/>
              <w:rPr>
                <w:rFonts w:ascii="Arial" w:eastAsia="Times New Roman" w:hAnsi="Arial" w:cs="Arial"/>
                <w:sz w:val="18"/>
                <w:szCs w:val="20"/>
                <w:lang w:val="mk-MK"/>
              </w:rPr>
            </w:pPr>
          </w:p>
          <w:p w14:paraId="1D10EF16" w14:textId="77777777" w:rsidR="00B20959" w:rsidRPr="00223692" w:rsidRDefault="00B20959" w:rsidP="00660C61">
            <w:pPr>
              <w:spacing w:after="0" w:line="240" w:lineRule="auto"/>
              <w:rPr>
                <w:rFonts w:ascii="Arial" w:eastAsia="Times New Roman" w:hAnsi="Arial" w:cs="Arial"/>
                <w:sz w:val="18"/>
                <w:szCs w:val="20"/>
                <w:lang w:val="mk-MK"/>
              </w:rPr>
            </w:pPr>
          </w:p>
        </w:tc>
        <w:tc>
          <w:tcPr>
            <w:tcW w:w="1995" w:type="dxa"/>
            <w:tcBorders>
              <w:top w:val="single" w:sz="4" w:space="0" w:color="000000"/>
              <w:left w:val="single" w:sz="4" w:space="0" w:color="000000"/>
              <w:bottom w:val="single" w:sz="4" w:space="0" w:color="000000"/>
              <w:right w:val="single" w:sz="4" w:space="0" w:color="000000"/>
            </w:tcBorders>
          </w:tcPr>
          <w:p w14:paraId="2DB0F29D" w14:textId="77777777" w:rsidR="00DE3551" w:rsidRDefault="00DE3551" w:rsidP="009F2804">
            <w:pPr>
              <w:spacing w:after="0" w:line="240" w:lineRule="auto"/>
              <w:jc w:val="center"/>
              <w:rPr>
                <w:rFonts w:ascii="Arial" w:eastAsia="Times New Roman" w:hAnsi="Arial" w:cs="Arial"/>
                <w:sz w:val="18"/>
                <w:szCs w:val="20"/>
                <w:lang w:val="mk-MK"/>
              </w:rPr>
            </w:pPr>
          </w:p>
          <w:p w14:paraId="78583FC8" w14:textId="77777777" w:rsidR="00CA37FC" w:rsidRPr="00223692" w:rsidRDefault="00B20959" w:rsidP="009F2804">
            <w:pPr>
              <w:spacing w:after="0" w:line="240" w:lineRule="auto"/>
              <w:jc w:val="center"/>
              <w:rPr>
                <w:rFonts w:ascii="Arial" w:eastAsia="Times New Roman" w:hAnsi="Arial" w:cs="Arial"/>
                <w:sz w:val="18"/>
                <w:szCs w:val="20"/>
                <w:lang w:val="mk-MK"/>
              </w:rPr>
            </w:pPr>
            <w:r w:rsidRPr="00223692">
              <w:rPr>
                <w:rFonts w:ascii="Arial" w:eastAsia="Times New Roman" w:hAnsi="Arial" w:cs="Arial"/>
                <w:sz w:val="18"/>
                <w:szCs w:val="20"/>
                <w:lang w:val="mk-MK"/>
              </w:rPr>
              <w:t>Sigurimi i mbrojtjes së duhur për sinjalizuesit në përputhje me procedurat e përcaktuara brenda Agjencisë</w:t>
            </w:r>
          </w:p>
        </w:tc>
        <w:tc>
          <w:tcPr>
            <w:tcW w:w="3599" w:type="dxa"/>
            <w:tcBorders>
              <w:top w:val="single" w:sz="4" w:space="0" w:color="000000"/>
              <w:left w:val="single" w:sz="4" w:space="0" w:color="000000"/>
              <w:bottom w:val="single" w:sz="4" w:space="0" w:color="000000"/>
              <w:right w:val="single" w:sz="4" w:space="0" w:color="000000"/>
            </w:tcBorders>
          </w:tcPr>
          <w:p w14:paraId="6C93D82F" w14:textId="77777777" w:rsidR="00CA37FC" w:rsidRPr="00223692" w:rsidRDefault="00CA37FC" w:rsidP="00660C61">
            <w:pPr>
              <w:spacing w:after="0" w:line="240" w:lineRule="auto"/>
              <w:jc w:val="center"/>
              <w:rPr>
                <w:rFonts w:ascii="Arial" w:eastAsia="Times New Roman" w:hAnsi="Arial" w:cs="Arial"/>
                <w:sz w:val="18"/>
                <w:szCs w:val="20"/>
                <w:lang w:val="mk-MK"/>
              </w:rPr>
            </w:pPr>
          </w:p>
          <w:p w14:paraId="7ED97F14" w14:textId="77777777" w:rsidR="00B20959" w:rsidRPr="00223692" w:rsidRDefault="00B20959" w:rsidP="00660C61">
            <w:pPr>
              <w:spacing w:after="0" w:line="240" w:lineRule="auto"/>
              <w:jc w:val="center"/>
              <w:rPr>
                <w:rFonts w:ascii="Arial" w:eastAsia="Times New Roman" w:hAnsi="Arial" w:cs="Arial"/>
                <w:sz w:val="18"/>
                <w:szCs w:val="20"/>
                <w:lang w:val="mk-MK"/>
              </w:rPr>
            </w:pPr>
            <w:r w:rsidRPr="00223692">
              <w:rPr>
                <w:rFonts w:ascii="Arial" w:eastAsia="Times New Roman" w:hAnsi="Arial" w:cs="Arial"/>
                <w:sz w:val="18"/>
                <w:szCs w:val="20"/>
                <w:lang w:val="mk-MK"/>
              </w:rPr>
              <w:t>Të gjitha njësitë organizative në Shërbimin Profesional të Agjencisë/Drejtori/Anëtarët e Këshillit</w:t>
            </w:r>
          </w:p>
        </w:tc>
        <w:tc>
          <w:tcPr>
            <w:tcW w:w="1440" w:type="dxa"/>
            <w:tcBorders>
              <w:top w:val="single" w:sz="4" w:space="0" w:color="000000"/>
              <w:left w:val="single" w:sz="4" w:space="0" w:color="000000"/>
              <w:bottom w:val="single" w:sz="4" w:space="0" w:color="000000"/>
              <w:right w:val="single" w:sz="4" w:space="0" w:color="000000"/>
            </w:tcBorders>
          </w:tcPr>
          <w:p w14:paraId="78ED13C7"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3A1CC0B0"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7C190277"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668089F6" w14:textId="77777777" w:rsidR="00B20959" w:rsidRPr="00223692" w:rsidRDefault="004C0111" w:rsidP="00660C61">
            <w:pPr>
              <w:spacing w:after="0" w:line="240" w:lineRule="auto"/>
              <w:rPr>
                <w:rFonts w:ascii="Arial" w:eastAsia="Times New Roman" w:hAnsi="Arial" w:cs="Arial"/>
                <w:sz w:val="18"/>
                <w:szCs w:val="20"/>
                <w:lang w:val="mk-MK"/>
              </w:rPr>
            </w:pPr>
            <w:r>
              <w:rPr>
                <w:rFonts w:ascii="Arial" w:eastAsia="Times New Roman" w:hAnsi="Arial" w:cs="Arial"/>
                <w:sz w:val="18"/>
                <w:szCs w:val="20"/>
                <w:lang w:val="mk-MK"/>
              </w:rPr>
              <w:t>vazhdimisht</w:t>
            </w:r>
          </w:p>
        </w:tc>
        <w:tc>
          <w:tcPr>
            <w:tcW w:w="1350" w:type="dxa"/>
            <w:tcBorders>
              <w:top w:val="single" w:sz="4" w:space="0" w:color="000000"/>
              <w:left w:val="single" w:sz="4" w:space="0" w:color="000000"/>
              <w:bottom w:val="single" w:sz="4" w:space="0" w:color="000000"/>
              <w:right w:val="single" w:sz="4" w:space="0" w:color="000000"/>
            </w:tcBorders>
          </w:tcPr>
          <w:p w14:paraId="6C399096"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776CABBF"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1F05B5E6"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3920079B" w14:textId="77777777" w:rsidR="00B20959" w:rsidRPr="00223692" w:rsidRDefault="004C0111" w:rsidP="00660C61">
            <w:pPr>
              <w:spacing w:after="0" w:line="240" w:lineRule="auto"/>
              <w:jc w:val="center"/>
              <w:rPr>
                <w:rFonts w:ascii="Arial" w:eastAsia="Times New Roman" w:hAnsi="Arial" w:cs="Arial"/>
                <w:sz w:val="18"/>
                <w:szCs w:val="20"/>
                <w:lang w:val="mk-MK"/>
              </w:rPr>
            </w:pPr>
            <w:r>
              <w:rPr>
                <w:rFonts w:ascii="Arial" w:eastAsia="Times New Roman" w:hAnsi="Arial" w:cs="Arial"/>
                <w:sz w:val="18"/>
                <w:szCs w:val="20"/>
                <w:lang w:val="mk-MK"/>
              </w:rPr>
              <w:t>nuk ka</w:t>
            </w:r>
          </w:p>
        </w:tc>
        <w:tc>
          <w:tcPr>
            <w:tcW w:w="1350" w:type="dxa"/>
            <w:tcBorders>
              <w:top w:val="single" w:sz="4" w:space="0" w:color="000000"/>
              <w:left w:val="single" w:sz="4" w:space="0" w:color="000000"/>
              <w:bottom w:val="single" w:sz="4" w:space="0" w:color="000000"/>
              <w:right w:val="single" w:sz="4" w:space="0" w:color="000000"/>
            </w:tcBorders>
          </w:tcPr>
          <w:p w14:paraId="1CD090FD"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0856FEEC"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0C7E6261" w14:textId="77777777" w:rsidR="00B20959" w:rsidRPr="00223692" w:rsidRDefault="00B20959" w:rsidP="00660C61">
            <w:pPr>
              <w:spacing w:after="0" w:line="240" w:lineRule="auto"/>
              <w:jc w:val="center"/>
              <w:rPr>
                <w:rFonts w:ascii="Arial" w:eastAsia="Times New Roman" w:hAnsi="Arial" w:cs="Arial"/>
                <w:sz w:val="18"/>
                <w:szCs w:val="20"/>
                <w:lang w:val="mk-MK"/>
              </w:rPr>
            </w:pPr>
          </w:p>
          <w:p w14:paraId="6790D104" w14:textId="77777777" w:rsidR="00B20959" w:rsidRPr="00223692" w:rsidRDefault="004C0111" w:rsidP="00660C61">
            <w:pPr>
              <w:spacing w:after="0" w:line="240" w:lineRule="auto"/>
              <w:jc w:val="center"/>
              <w:rPr>
                <w:rFonts w:ascii="Arial" w:eastAsia="Times New Roman" w:hAnsi="Arial" w:cs="Arial"/>
                <w:sz w:val="18"/>
                <w:szCs w:val="20"/>
                <w:lang w:val="mk-MK"/>
              </w:rPr>
            </w:pPr>
            <w:r>
              <w:rPr>
                <w:rFonts w:ascii="Arial" w:eastAsia="Times New Roman" w:hAnsi="Arial" w:cs="Arial"/>
                <w:sz w:val="18"/>
                <w:szCs w:val="20"/>
                <w:lang w:val="mk-MK"/>
              </w:rPr>
              <w:t>të kontrolluara</w:t>
            </w:r>
          </w:p>
        </w:tc>
      </w:tr>
      <w:tr w:rsidR="00223692" w:rsidRPr="00223692" w14:paraId="15ED95C4" w14:textId="77777777" w:rsidTr="00660C61">
        <w:trPr>
          <w:trHeight w:val="197"/>
        </w:trPr>
        <w:tc>
          <w:tcPr>
            <w:tcW w:w="14025" w:type="dxa"/>
            <w:gridSpan w:val="7"/>
            <w:tcBorders>
              <w:left w:val="single" w:sz="4" w:space="0" w:color="000000"/>
              <w:right w:val="single" w:sz="4" w:space="0" w:color="000000"/>
            </w:tcBorders>
            <w:shd w:val="clear" w:color="auto" w:fill="C9C9C9" w:themeFill="accent3" w:themeFillTint="99"/>
          </w:tcPr>
          <w:p w14:paraId="1DB3CDDF" w14:textId="77777777" w:rsidR="00CA37FC" w:rsidRPr="00223692" w:rsidRDefault="00B20959" w:rsidP="009A0E0E">
            <w:pPr>
              <w:spacing w:after="0" w:line="240" w:lineRule="auto"/>
              <w:rPr>
                <w:rFonts w:ascii="Arial" w:eastAsia="Times New Roman" w:hAnsi="Arial" w:cs="Arial"/>
                <w:b/>
                <w:sz w:val="18"/>
                <w:szCs w:val="18"/>
                <w:lang w:val="mk-MK"/>
              </w:rPr>
            </w:pPr>
            <w:r w:rsidRPr="00223692">
              <w:rPr>
                <w:rFonts w:ascii="Arial" w:eastAsia="Times New Roman" w:hAnsi="Arial" w:cs="Arial"/>
                <w:b/>
                <w:sz w:val="18"/>
                <w:szCs w:val="18"/>
                <w:lang w:val="mk-MK"/>
              </w:rPr>
              <w:t>Fusha 5: Konflikti i interesit në kryerjen e mbikëqyrjes</w:t>
            </w:r>
          </w:p>
        </w:tc>
      </w:tr>
      <w:tr w:rsidR="00223692" w:rsidRPr="00223692" w14:paraId="3BAB4694" w14:textId="77777777" w:rsidTr="00660C61">
        <w:trPr>
          <w:trHeight w:val="503"/>
        </w:trPr>
        <w:tc>
          <w:tcPr>
            <w:tcW w:w="178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tcPr>
          <w:p w14:paraId="56974B0E" w14:textId="77777777" w:rsidR="00B20959" w:rsidRPr="00223692" w:rsidRDefault="00B20959" w:rsidP="00660C61">
            <w:pPr>
              <w:spacing w:after="0" w:line="240" w:lineRule="auto"/>
              <w:jc w:val="center"/>
              <w:rPr>
                <w:rFonts w:ascii="Arial" w:eastAsia="Times New Roman" w:hAnsi="Arial" w:cs="Arial"/>
                <w:b/>
                <w:i/>
                <w:sz w:val="18"/>
                <w:szCs w:val="20"/>
                <w:lang w:val="mk-MK"/>
              </w:rPr>
            </w:pPr>
            <w:r w:rsidRPr="00223692">
              <w:rPr>
                <w:rFonts w:ascii="Arial" w:eastAsia="Times New Roman" w:hAnsi="Arial" w:cs="Arial"/>
                <w:b/>
                <w:i/>
                <w:sz w:val="18"/>
                <w:szCs w:val="20"/>
                <w:lang w:val="mk-MK"/>
              </w:rPr>
              <w:t>Rreziku</w:t>
            </w:r>
          </w:p>
        </w:tc>
        <w:tc>
          <w:tcPr>
            <w:tcW w:w="2505" w:type="dxa"/>
            <w:tcBorders>
              <w:top w:val="single" w:sz="4" w:space="0" w:color="000000"/>
              <w:left w:val="single" w:sz="4" w:space="0" w:color="auto"/>
              <w:bottom w:val="single" w:sz="4" w:space="0" w:color="000000"/>
              <w:right w:val="single" w:sz="4" w:space="0" w:color="auto"/>
            </w:tcBorders>
            <w:shd w:val="clear" w:color="auto" w:fill="D0CECE" w:themeFill="background2" w:themeFillShade="E6"/>
          </w:tcPr>
          <w:p w14:paraId="05274389" w14:textId="77777777" w:rsidR="00B20959" w:rsidRPr="00223692" w:rsidRDefault="00B20959" w:rsidP="00660C61">
            <w:pPr>
              <w:spacing w:after="0" w:line="240" w:lineRule="auto"/>
              <w:jc w:val="center"/>
              <w:rPr>
                <w:rFonts w:ascii="Arial" w:eastAsia="Times New Roman" w:hAnsi="Arial" w:cs="Arial"/>
                <w:b/>
                <w:i/>
                <w:sz w:val="18"/>
                <w:szCs w:val="20"/>
                <w:lang w:val="mk-MK"/>
              </w:rPr>
            </w:pPr>
            <w:r w:rsidRPr="00223692">
              <w:rPr>
                <w:rFonts w:ascii="Arial" w:eastAsia="Times New Roman" w:hAnsi="Arial" w:cs="Arial"/>
                <w:b/>
                <w:i/>
                <w:sz w:val="18"/>
                <w:szCs w:val="20"/>
                <w:lang w:val="mk-MK"/>
              </w:rPr>
              <w:t>Aktiviteti</w:t>
            </w:r>
          </w:p>
        </w:tc>
        <w:tc>
          <w:tcPr>
            <w:tcW w:w="1995" w:type="dxa"/>
            <w:tcBorders>
              <w:top w:val="single" w:sz="4" w:space="0" w:color="000000"/>
              <w:left w:val="single" w:sz="4" w:space="0" w:color="auto"/>
              <w:bottom w:val="single" w:sz="4" w:space="0" w:color="000000"/>
              <w:right w:val="single" w:sz="4" w:space="0" w:color="auto"/>
            </w:tcBorders>
            <w:shd w:val="clear" w:color="auto" w:fill="D0CECE" w:themeFill="background2" w:themeFillShade="E6"/>
          </w:tcPr>
          <w:p w14:paraId="4E56A461" w14:textId="77777777" w:rsidR="00B20959" w:rsidRPr="00223692" w:rsidRDefault="00B20959" w:rsidP="00660C61">
            <w:pPr>
              <w:spacing w:after="0" w:line="240" w:lineRule="auto"/>
              <w:jc w:val="center"/>
              <w:rPr>
                <w:rFonts w:ascii="Arial" w:eastAsia="Times New Roman" w:hAnsi="Arial" w:cs="Arial"/>
                <w:b/>
                <w:i/>
                <w:sz w:val="18"/>
                <w:szCs w:val="20"/>
                <w:lang w:val="mk-MK"/>
              </w:rPr>
            </w:pPr>
            <w:r w:rsidRPr="00223692">
              <w:rPr>
                <w:rFonts w:ascii="Arial" w:eastAsia="Times New Roman" w:hAnsi="Arial" w:cs="Arial"/>
                <w:b/>
                <w:i/>
                <w:sz w:val="18"/>
                <w:szCs w:val="20"/>
                <w:lang w:val="mk-MK"/>
              </w:rPr>
              <w:t>Masa</w:t>
            </w:r>
          </w:p>
        </w:tc>
        <w:tc>
          <w:tcPr>
            <w:tcW w:w="3599" w:type="dxa"/>
            <w:tcBorders>
              <w:top w:val="single" w:sz="4" w:space="0" w:color="000000"/>
              <w:left w:val="single" w:sz="4" w:space="0" w:color="auto"/>
              <w:bottom w:val="single" w:sz="4" w:space="0" w:color="000000"/>
              <w:right w:val="single" w:sz="4" w:space="0" w:color="auto"/>
            </w:tcBorders>
            <w:shd w:val="clear" w:color="auto" w:fill="D0CECE" w:themeFill="background2" w:themeFillShade="E6"/>
          </w:tcPr>
          <w:p w14:paraId="6CECED42" w14:textId="77777777" w:rsidR="00B20959" w:rsidRPr="00223692" w:rsidRDefault="00B20959" w:rsidP="00660C61">
            <w:pPr>
              <w:spacing w:after="0" w:line="240" w:lineRule="auto"/>
              <w:jc w:val="center"/>
              <w:rPr>
                <w:rFonts w:ascii="Arial" w:eastAsia="Times New Roman" w:hAnsi="Arial" w:cs="Arial"/>
                <w:b/>
                <w:i/>
                <w:sz w:val="18"/>
                <w:szCs w:val="20"/>
                <w:lang w:val="mk-MK"/>
              </w:rPr>
            </w:pPr>
            <w:r w:rsidRPr="00223692">
              <w:rPr>
                <w:rFonts w:ascii="Arial" w:eastAsia="Times New Roman" w:hAnsi="Arial" w:cs="Arial"/>
                <w:b/>
                <w:i/>
                <w:sz w:val="18"/>
                <w:szCs w:val="20"/>
                <w:lang w:val="mk-MK"/>
              </w:rPr>
              <w:t>Mbajtës/njësi organizative kompetente</w:t>
            </w:r>
          </w:p>
        </w:tc>
        <w:tc>
          <w:tcPr>
            <w:tcW w:w="1440" w:type="dxa"/>
            <w:tcBorders>
              <w:top w:val="single" w:sz="4" w:space="0" w:color="000000"/>
              <w:left w:val="single" w:sz="4" w:space="0" w:color="auto"/>
              <w:bottom w:val="single" w:sz="4" w:space="0" w:color="000000"/>
              <w:right w:val="single" w:sz="4" w:space="0" w:color="auto"/>
            </w:tcBorders>
            <w:shd w:val="clear" w:color="auto" w:fill="D0CECE" w:themeFill="background2" w:themeFillShade="E6"/>
          </w:tcPr>
          <w:p w14:paraId="5856FCE1" w14:textId="77777777" w:rsidR="00B20959" w:rsidRPr="00223692" w:rsidRDefault="00B20959" w:rsidP="00660C61">
            <w:pPr>
              <w:spacing w:after="0" w:line="240" w:lineRule="auto"/>
              <w:jc w:val="center"/>
              <w:rPr>
                <w:rFonts w:ascii="Arial" w:eastAsia="Times New Roman" w:hAnsi="Arial" w:cs="Arial"/>
                <w:b/>
                <w:i/>
                <w:sz w:val="18"/>
                <w:szCs w:val="20"/>
                <w:lang w:val="mk-MK"/>
              </w:rPr>
            </w:pPr>
            <w:r w:rsidRPr="00223692">
              <w:rPr>
                <w:rFonts w:ascii="Arial" w:eastAsia="Times New Roman" w:hAnsi="Arial" w:cs="Arial"/>
                <w:b/>
                <w:i/>
                <w:sz w:val="18"/>
                <w:szCs w:val="20"/>
                <w:lang w:val="mk-MK"/>
              </w:rPr>
              <w:t>Afati i zbatimit</w:t>
            </w:r>
          </w:p>
        </w:tc>
        <w:tc>
          <w:tcPr>
            <w:tcW w:w="1350" w:type="dxa"/>
            <w:tcBorders>
              <w:top w:val="single" w:sz="4" w:space="0" w:color="000000"/>
              <w:left w:val="single" w:sz="4" w:space="0" w:color="auto"/>
              <w:bottom w:val="single" w:sz="4" w:space="0" w:color="000000"/>
              <w:right w:val="single" w:sz="4" w:space="0" w:color="000000"/>
            </w:tcBorders>
            <w:shd w:val="clear" w:color="auto" w:fill="D0CECE" w:themeFill="background2" w:themeFillShade="E6"/>
          </w:tcPr>
          <w:p w14:paraId="1C301FFA" w14:textId="77777777" w:rsidR="00B20959" w:rsidRPr="00223692" w:rsidRDefault="00B20959" w:rsidP="00660C61">
            <w:pPr>
              <w:spacing w:after="0" w:line="240" w:lineRule="auto"/>
              <w:jc w:val="center"/>
              <w:rPr>
                <w:rFonts w:ascii="Arial" w:eastAsia="Times New Roman" w:hAnsi="Arial" w:cs="Arial"/>
                <w:b/>
                <w:i/>
                <w:sz w:val="18"/>
                <w:szCs w:val="20"/>
                <w:lang w:val="mk-MK"/>
              </w:rPr>
            </w:pPr>
            <w:r w:rsidRPr="00223692">
              <w:rPr>
                <w:rFonts w:ascii="Arial" w:eastAsia="Times New Roman" w:hAnsi="Arial" w:cs="Arial"/>
                <w:b/>
                <w:i/>
                <w:sz w:val="18"/>
                <w:szCs w:val="20"/>
                <w:lang w:val="mk-MK"/>
              </w:rPr>
              <w:t>Implikimet financiare</w:t>
            </w:r>
          </w:p>
        </w:tc>
        <w:tc>
          <w:tcPr>
            <w:tcW w:w="1350" w:type="dxa"/>
            <w:tcBorders>
              <w:top w:val="single" w:sz="4" w:space="0" w:color="000000"/>
              <w:left w:val="single" w:sz="4" w:space="0" w:color="auto"/>
              <w:bottom w:val="single" w:sz="4" w:space="0" w:color="000000"/>
              <w:right w:val="single" w:sz="4" w:space="0" w:color="000000"/>
            </w:tcBorders>
            <w:shd w:val="clear" w:color="auto" w:fill="D0CECE" w:themeFill="background2" w:themeFillShade="E6"/>
          </w:tcPr>
          <w:p w14:paraId="7D47844C" w14:textId="77777777" w:rsidR="00B20959" w:rsidRPr="00223692" w:rsidRDefault="00B20959" w:rsidP="00660C61">
            <w:pPr>
              <w:spacing w:after="0" w:line="240" w:lineRule="auto"/>
              <w:jc w:val="center"/>
              <w:rPr>
                <w:rFonts w:ascii="Arial" w:eastAsia="Times New Roman" w:hAnsi="Arial" w:cs="Arial"/>
                <w:b/>
                <w:i/>
                <w:sz w:val="18"/>
                <w:szCs w:val="20"/>
                <w:lang w:val="mk-MK"/>
              </w:rPr>
            </w:pPr>
            <w:r w:rsidRPr="00223692">
              <w:rPr>
                <w:rFonts w:ascii="Arial" w:eastAsia="Times New Roman" w:hAnsi="Arial" w:cs="Arial"/>
                <w:b/>
                <w:i/>
                <w:sz w:val="18"/>
                <w:szCs w:val="20"/>
                <w:lang w:val="mk-MK"/>
              </w:rPr>
              <w:t>Vlerësimi i rrezikut</w:t>
            </w:r>
          </w:p>
        </w:tc>
      </w:tr>
      <w:tr w:rsidR="00223692" w:rsidRPr="00223692" w14:paraId="10542BC3" w14:textId="77777777" w:rsidTr="00CA37FC">
        <w:trPr>
          <w:trHeight w:val="2042"/>
        </w:trPr>
        <w:tc>
          <w:tcPr>
            <w:tcW w:w="1786" w:type="dxa"/>
            <w:vMerge w:val="restart"/>
            <w:tcBorders>
              <w:top w:val="single" w:sz="4" w:space="0" w:color="000000"/>
              <w:left w:val="single" w:sz="4" w:space="0" w:color="000000"/>
              <w:right w:val="single" w:sz="4" w:space="0" w:color="auto"/>
            </w:tcBorders>
            <w:shd w:val="clear" w:color="auto" w:fill="FFFFFF" w:themeFill="background1"/>
          </w:tcPr>
          <w:p w14:paraId="34BF760E" w14:textId="77777777" w:rsidR="00B20959" w:rsidRPr="00223692" w:rsidRDefault="00B20959" w:rsidP="00660C61">
            <w:pPr>
              <w:spacing w:after="0" w:line="240" w:lineRule="auto"/>
              <w:jc w:val="center"/>
              <w:rPr>
                <w:rFonts w:ascii="Arial" w:hAnsi="Arial" w:cs="Arial"/>
                <w:sz w:val="18"/>
                <w:szCs w:val="18"/>
                <w:lang w:val="mk-MK"/>
              </w:rPr>
            </w:pPr>
          </w:p>
          <w:p w14:paraId="3020CC35" w14:textId="77777777" w:rsidR="00B20959" w:rsidRPr="00223692" w:rsidRDefault="00B20959" w:rsidP="00660C61">
            <w:pPr>
              <w:spacing w:after="0" w:line="240" w:lineRule="auto"/>
              <w:jc w:val="center"/>
              <w:rPr>
                <w:rFonts w:ascii="Arial" w:hAnsi="Arial" w:cs="Arial"/>
                <w:sz w:val="18"/>
                <w:szCs w:val="18"/>
                <w:lang w:val="mk-MK"/>
              </w:rPr>
            </w:pPr>
          </w:p>
          <w:p w14:paraId="7546CDEA" w14:textId="77777777" w:rsidR="00B20959" w:rsidRPr="00223692" w:rsidRDefault="00B20959" w:rsidP="00660C61">
            <w:pPr>
              <w:spacing w:after="0" w:line="240" w:lineRule="auto"/>
              <w:jc w:val="center"/>
              <w:rPr>
                <w:rFonts w:ascii="Arial" w:hAnsi="Arial" w:cs="Arial"/>
                <w:sz w:val="18"/>
                <w:szCs w:val="18"/>
                <w:lang w:val="mk-MK"/>
              </w:rPr>
            </w:pPr>
          </w:p>
          <w:p w14:paraId="385680D8" w14:textId="77777777" w:rsidR="00B20959" w:rsidRPr="00223692" w:rsidRDefault="00B20959" w:rsidP="00660C61">
            <w:pPr>
              <w:spacing w:after="0" w:line="240" w:lineRule="auto"/>
              <w:jc w:val="center"/>
              <w:rPr>
                <w:rFonts w:ascii="Arial" w:hAnsi="Arial" w:cs="Arial"/>
                <w:sz w:val="18"/>
                <w:szCs w:val="18"/>
                <w:lang w:val="mk-MK"/>
              </w:rPr>
            </w:pPr>
          </w:p>
          <w:p w14:paraId="6999BB9A" w14:textId="77777777" w:rsidR="00B20959" w:rsidRPr="00223692" w:rsidRDefault="00B20959" w:rsidP="00660C61">
            <w:pPr>
              <w:spacing w:after="0" w:line="240" w:lineRule="auto"/>
              <w:jc w:val="center"/>
              <w:rPr>
                <w:rFonts w:ascii="Arial" w:hAnsi="Arial" w:cs="Arial"/>
                <w:sz w:val="18"/>
                <w:szCs w:val="18"/>
                <w:lang w:val="mk-MK"/>
              </w:rPr>
            </w:pPr>
          </w:p>
          <w:p w14:paraId="49BEFAAE" w14:textId="77777777" w:rsidR="00B20959" w:rsidRPr="00223692" w:rsidRDefault="00B20959" w:rsidP="00660C61">
            <w:pPr>
              <w:spacing w:after="0" w:line="240" w:lineRule="auto"/>
              <w:jc w:val="center"/>
              <w:rPr>
                <w:rFonts w:ascii="Arial" w:hAnsi="Arial" w:cs="Arial"/>
                <w:sz w:val="18"/>
                <w:szCs w:val="18"/>
                <w:lang w:val="mk-MK"/>
              </w:rPr>
            </w:pPr>
          </w:p>
          <w:p w14:paraId="3EA3C917" w14:textId="77777777" w:rsidR="00B20959" w:rsidRPr="00223692" w:rsidRDefault="00B20959" w:rsidP="00660C61">
            <w:pPr>
              <w:spacing w:after="0" w:line="240" w:lineRule="auto"/>
              <w:jc w:val="center"/>
              <w:rPr>
                <w:rFonts w:ascii="Arial" w:hAnsi="Arial" w:cs="Arial"/>
                <w:sz w:val="18"/>
                <w:szCs w:val="18"/>
                <w:lang w:val="mk-MK"/>
              </w:rPr>
            </w:pPr>
          </w:p>
          <w:p w14:paraId="2C665611" w14:textId="77777777" w:rsidR="00B20959" w:rsidRPr="00223692" w:rsidRDefault="00B20959" w:rsidP="00660C61">
            <w:pPr>
              <w:spacing w:after="0" w:line="240" w:lineRule="auto"/>
              <w:jc w:val="center"/>
              <w:rPr>
                <w:rFonts w:ascii="Arial" w:hAnsi="Arial" w:cs="Arial"/>
                <w:sz w:val="18"/>
                <w:szCs w:val="18"/>
                <w:lang w:val="mk-MK"/>
              </w:rPr>
            </w:pPr>
          </w:p>
          <w:p w14:paraId="6D00946D" w14:textId="77777777" w:rsidR="00B20959" w:rsidRPr="00223692" w:rsidRDefault="00B20959" w:rsidP="00660C61">
            <w:pPr>
              <w:spacing w:after="0" w:line="240" w:lineRule="auto"/>
              <w:jc w:val="center"/>
              <w:rPr>
                <w:rFonts w:ascii="Arial" w:eastAsia="Times New Roman" w:hAnsi="Arial" w:cs="Arial"/>
                <w:b/>
                <w:i/>
                <w:sz w:val="18"/>
                <w:szCs w:val="20"/>
                <w:lang w:val="mk-MK"/>
              </w:rPr>
            </w:pPr>
            <w:r w:rsidRPr="00223692">
              <w:rPr>
                <w:rFonts w:ascii="Arial" w:hAnsi="Arial" w:cs="Arial"/>
                <w:sz w:val="18"/>
                <w:szCs w:val="18"/>
                <w:lang w:val="mk-MK"/>
              </w:rPr>
              <w:t>Sistemi i krijuar në mënyrë joadekuate për rezistencë ndaj korrupsionit</w:t>
            </w:r>
          </w:p>
        </w:tc>
        <w:tc>
          <w:tcPr>
            <w:tcW w:w="250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A4B1A06" w14:textId="77777777" w:rsidR="00B20959" w:rsidRPr="00223692" w:rsidRDefault="00B20959" w:rsidP="00660C61">
            <w:pPr>
              <w:spacing w:after="0" w:line="240" w:lineRule="auto"/>
              <w:jc w:val="center"/>
              <w:rPr>
                <w:rFonts w:ascii="Arial" w:hAnsi="Arial" w:cs="Arial"/>
                <w:sz w:val="18"/>
                <w:szCs w:val="18"/>
                <w:lang w:val="mk-MK"/>
              </w:rPr>
            </w:pPr>
          </w:p>
          <w:p w14:paraId="3E323EE8" w14:textId="77777777" w:rsidR="00CA37FC" w:rsidRPr="00223692" w:rsidRDefault="00CA37FC" w:rsidP="009F677F">
            <w:pPr>
              <w:spacing w:after="0" w:line="240" w:lineRule="auto"/>
              <w:jc w:val="center"/>
              <w:rPr>
                <w:rFonts w:ascii="Arial" w:hAnsi="Arial" w:cs="Arial"/>
                <w:sz w:val="18"/>
                <w:szCs w:val="18"/>
                <w:lang w:val="mk-MK"/>
              </w:rPr>
            </w:pPr>
          </w:p>
          <w:p w14:paraId="28A4253F" w14:textId="77777777" w:rsidR="00B20959" w:rsidRPr="00223692" w:rsidRDefault="00B20959" w:rsidP="009F677F">
            <w:pPr>
              <w:spacing w:after="0" w:line="240" w:lineRule="auto"/>
              <w:jc w:val="center"/>
              <w:rPr>
                <w:rFonts w:ascii="Arial" w:eastAsia="Times New Roman" w:hAnsi="Arial" w:cs="Arial"/>
                <w:b/>
                <w:i/>
                <w:sz w:val="18"/>
                <w:szCs w:val="18"/>
                <w:lang w:val="mk-MK"/>
              </w:rPr>
            </w:pPr>
            <w:r w:rsidRPr="00223692">
              <w:rPr>
                <w:rFonts w:ascii="Arial" w:hAnsi="Arial" w:cs="Arial"/>
                <w:sz w:val="18"/>
                <w:szCs w:val="18"/>
                <w:lang w:val="mk-MK"/>
              </w:rPr>
              <w:t>Ruajtja e një niveli të lartë të rezistencës ndaj korrupsionit në mbikëqyrje dhe zbatim përmes zbatimit të vazhdueshëm të procedurave ISO</w:t>
            </w:r>
          </w:p>
        </w:tc>
        <w:tc>
          <w:tcPr>
            <w:tcW w:w="1995" w:type="dxa"/>
            <w:tcBorders>
              <w:top w:val="single" w:sz="4" w:space="0" w:color="000000"/>
              <w:left w:val="single" w:sz="4" w:space="0" w:color="auto"/>
              <w:right w:val="single" w:sz="4" w:space="0" w:color="auto"/>
            </w:tcBorders>
            <w:shd w:val="clear" w:color="auto" w:fill="FFFFFF" w:themeFill="background1"/>
          </w:tcPr>
          <w:p w14:paraId="3C35A8FF" w14:textId="77777777" w:rsidR="00B20959" w:rsidRPr="00223692" w:rsidRDefault="00B20959" w:rsidP="00CA37FC">
            <w:pPr>
              <w:pStyle w:val="NoSpacing"/>
              <w:jc w:val="center"/>
              <w:rPr>
                <w:rFonts w:ascii="Arial" w:hAnsi="Arial" w:cs="Arial"/>
                <w:sz w:val="18"/>
                <w:szCs w:val="18"/>
              </w:rPr>
            </w:pPr>
            <w:r w:rsidRPr="00223692">
              <w:rPr>
                <w:rFonts w:ascii="Arial" w:hAnsi="Arial" w:cs="Arial"/>
                <w:sz w:val="18"/>
                <w:szCs w:val="18"/>
              </w:rPr>
              <w:t xml:space="preserve">Periodike kontrolloni në respekt për </w:t>
            </w:r>
            <w:r w:rsidRPr="00223692">
              <w:rPr>
                <w:rFonts w:ascii="Arial" w:hAnsi="Arial" w:cs="Arial"/>
                <w:sz w:val="18"/>
                <w:szCs w:val="18"/>
                <w:lang w:val="mk-MK"/>
              </w:rPr>
              <w:t>të</w:t>
            </w:r>
            <w:r w:rsidRPr="00223692">
              <w:rPr>
                <w:rFonts w:ascii="Arial" w:hAnsi="Arial" w:cs="Arial"/>
                <w:sz w:val="18"/>
                <w:szCs w:val="18"/>
              </w:rPr>
              <w:t xml:space="preserve"> të procedurave ISO në duke kryer mbikëqyrje ;</w:t>
            </w:r>
          </w:p>
          <w:p w14:paraId="71A10092" w14:textId="77777777" w:rsidR="00B20959" w:rsidRPr="00223692" w:rsidRDefault="00B20959" w:rsidP="00CA37FC">
            <w:pPr>
              <w:spacing w:after="0" w:line="240" w:lineRule="auto"/>
              <w:jc w:val="center"/>
              <w:rPr>
                <w:rFonts w:ascii="Arial" w:hAnsi="Arial" w:cs="Arial"/>
                <w:sz w:val="18"/>
                <w:szCs w:val="18"/>
                <w:highlight w:val="yellow"/>
              </w:rPr>
            </w:pPr>
            <w:r w:rsidRPr="00223692">
              <w:rPr>
                <w:rFonts w:ascii="Arial" w:hAnsi="Arial" w:cs="Arial"/>
                <w:sz w:val="18"/>
                <w:szCs w:val="18"/>
              </w:rPr>
              <w:t>sigurinë regjistrime ; duke thënë masat dhe avokimin përpara autoritetet gjykatat</w:t>
            </w:r>
          </w:p>
        </w:tc>
        <w:tc>
          <w:tcPr>
            <w:tcW w:w="3599" w:type="dxa"/>
            <w:tcBorders>
              <w:top w:val="single" w:sz="4" w:space="0" w:color="000000"/>
              <w:left w:val="single" w:sz="4" w:space="0" w:color="auto"/>
              <w:right w:val="single" w:sz="4" w:space="0" w:color="auto"/>
            </w:tcBorders>
            <w:shd w:val="clear" w:color="auto" w:fill="FFFFFF" w:themeFill="background1"/>
          </w:tcPr>
          <w:p w14:paraId="489FDB3F" w14:textId="77777777" w:rsidR="00CA37FC" w:rsidRPr="00223692" w:rsidRDefault="00B20959" w:rsidP="00CA37FC">
            <w:pPr>
              <w:spacing w:after="0" w:line="240" w:lineRule="auto"/>
              <w:jc w:val="center"/>
              <w:rPr>
                <w:rFonts w:ascii="Arial" w:hAnsi="Arial" w:cs="Arial"/>
                <w:sz w:val="18"/>
                <w:szCs w:val="18"/>
                <w:lang w:val="mk-MK"/>
              </w:rPr>
            </w:pPr>
            <w:r w:rsidRPr="00223692">
              <w:rPr>
                <w:rFonts w:ascii="Arial" w:hAnsi="Arial" w:cs="Arial"/>
                <w:sz w:val="18"/>
                <w:szCs w:val="18"/>
                <w:lang w:val="mk-MK"/>
              </w:rPr>
              <w:t>Të gjitha njësitë organizative që mbikëqyrin/shkojnë</w:t>
            </w:r>
            <w:r w:rsidRPr="00223692">
              <w:rPr>
                <w:rFonts w:ascii="Arial" w:hAnsi="Arial" w:cs="Arial"/>
                <w:sz w:val="18"/>
                <w:szCs w:val="18"/>
              </w:rPr>
              <w:t xml:space="preserve"> avokatia përpara autoritetet gjykata </w:t>
            </w:r>
            <w:r w:rsidRPr="00223692">
              <w:rPr>
                <w:rFonts w:ascii="Arial" w:hAnsi="Arial" w:cs="Arial"/>
                <w:sz w:val="18"/>
                <w:szCs w:val="18"/>
                <w:lang w:val="mk-MK"/>
              </w:rPr>
              <w:t>/</w:t>
            </w:r>
            <w:r w:rsidRPr="00223692">
              <w:rPr>
                <w:rFonts w:ascii="Arial" w:hAnsi="Arial" w:cs="Arial"/>
                <w:sz w:val="18"/>
                <w:szCs w:val="18"/>
              </w:rPr>
              <w:t xml:space="preserve"> </w:t>
            </w:r>
            <w:r w:rsidRPr="00223692">
              <w:rPr>
                <w:rFonts w:ascii="Arial" w:hAnsi="Arial" w:cs="Arial"/>
                <w:sz w:val="18"/>
                <w:szCs w:val="18"/>
                <w:lang w:val="mk-MK"/>
              </w:rPr>
              <w:t>drejtor/</w:t>
            </w:r>
          </w:p>
          <w:p w14:paraId="37AAE39E" w14:textId="77777777" w:rsidR="00CA37FC" w:rsidRPr="00223692" w:rsidRDefault="00B20959" w:rsidP="00CA37FC">
            <w:pPr>
              <w:spacing w:after="0" w:line="240" w:lineRule="auto"/>
              <w:jc w:val="center"/>
              <w:rPr>
                <w:rFonts w:ascii="Arial" w:hAnsi="Arial" w:cs="Arial"/>
                <w:sz w:val="18"/>
                <w:szCs w:val="18"/>
                <w:lang w:val="mk-MK"/>
              </w:rPr>
            </w:pPr>
            <w:r w:rsidRPr="00223692">
              <w:rPr>
                <w:rFonts w:ascii="Arial" w:hAnsi="Arial" w:cs="Arial"/>
                <w:sz w:val="18"/>
                <w:szCs w:val="18"/>
                <w:lang w:val="mk-MK"/>
              </w:rPr>
              <w:t>anëtarët e këshillit</w:t>
            </w:r>
          </w:p>
          <w:p w14:paraId="31EAF52C" w14:textId="77777777" w:rsidR="00CA37FC" w:rsidRPr="00223692" w:rsidRDefault="00CA37FC" w:rsidP="00CA37FC">
            <w:pPr>
              <w:spacing w:after="0" w:line="240" w:lineRule="auto"/>
              <w:jc w:val="center"/>
              <w:rPr>
                <w:rFonts w:ascii="Arial" w:hAnsi="Arial" w:cs="Arial"/>
                <w:sz w:val="18"/>
                <w:szCs w:val="18"/>
                <w:lang w:val="mk-MK"/>
              </w:rPr>
            </w:pPr>
          </w:p>
          <w:p w14:paraId="1DCC6B7C" w14:textId="77777777" w:rsidR="00B20959" w:rsidRPr="00223692" w:rsidRDefault="00B20959" w:rsidP="00660C61">
            <w:pPr>
              <w:jc w:val="center"/>
              <w:rPr>
                <w:rFonts w:ascii="Arial" w:hAnsi="Arial" w:cs="Arial"/>
                <w:sz w:val="18"/>
                <w:szCs w:val="18"/>
                <w:lang w:val="mk-MK"/>
              </w:rPr>
            </w:pPr>
            <w:r w:rsidRPr="00223692">
              <w:rPr>
                <w:rFonts w:ascii="Arial" w:hAnsi="Arial" w:cs="Arial"/>
                <w:sz w:val="18"/>
                <w:szCs w:val="18"/>
                <w:lang w:val="mk-MK"/>
              </w:rPr>
              <w:t>Oficeri për Mbrojtjen e Denoncuesve</w:t>
            </w:r>
          </w:p>
          <w:p w14:paraId="46442700" w14:textId="77777777" w:rsidR="00B20959" w:rsidRPr="00223692" w:rsidRDefault="00B20959" w:rsidP="00660C61">
            <w:pPr>
              <w:jc w:val="center"/>
              <w:rPr>
                <w:rFonts w:ascii="Arial" w:hAnsi="Arial" w:cs="Arial"/>
                <w:sz w:val="18"/>
                <w:szCs w:val="18"/>
                <w:lang w:val="mk-MK"/>
              </w:rPr>
            </w:pPr>
            <w:r w:rsidRPr="00223692">
              <w:rPr>
                <w:rFonts w:ascii="Arial" w:hAnsi="Arial" w:cs="Arial"/>
                <w:sz w:val="18"/>
                <w:szCs w:val="18"/>
                <w:lang w:val="mk-MK"/>
              </w:rPr>
              <w:t>Auditorët e brendshëm ISO</w:t>
            </w:r>
          </w:p>
        </w:tc>
        <w:tc>
          <w:tcPr>
            <w:tcW w:w="1440" w:type="dxa"/>
            <w:tcBorders>
              <w:top w:val="single" w:sz="4" w:space="0" w:color="000000"/>
              <w:left w:val="single" w:sz="4" w:space="0" w:color="auto"/>
              <w:right w:val="single" w:sz="4" w:space="0" w:color="auto"/>
            </w:tcBorders>
            <w:shd w:val="clear" w:color="auto" w:fill="FFFFFF" w:themeFill="background1"/>
          </w:tcPr>
          <w:p w14:paraId="3F98F242" w14:textId="77777777" w:rsidR="00B20959" w:rsidRPr="00223692" w:rsidRDefault="00B20959" w:rsidP="00660C61">
            <w:pPr>
              <w:jc w:val="center"/>
              <w:rPr>
                <w:rFonts w:ascii="Arial" w:hAnsi="Arial" w:cs="Arial"/>
                <w:sz w:val="18"/>
                <w:szCs w:val="18"/>
                <w:lang w:val="mk-MK"/>
              </w:rPr>
            </w:pPr>
          </w:p>
          <w:p w14:paraId="69929DD9" w14:textId="77777777" w:rsidR="00B20959" w:rsidRPr="00223692" w:rsidRDefault="00B20959" w:rsidP="00660C61">
            <w:pPr>
              <w:jc w:val="center"/>
              <w:rPr>
                <w:rFonts w:ascii="Arial" w:hAnsi="Arial" w:cs="Arial"/>
                <w:sz w:val="18"/>
                <w:szCs w:val="18"/>
                <w:lang w:val="mk-MK"/>
              </w:rPr>
            </w:pPr>
          </w:p>
          <w:p w14:paraId="38BE7FCC" w14:textId="77777777" w:rsidR="00B20959" w:rsidRPr="00223692" w:rsidRDefault="00B20959" w:rsidP="00660C61">
            <w:pPr>
              <w:jc w:val="center"/>
              <w:rPr>
                <w:rFonts w:ascii="Arial" w:hAnsi="Arial" w:cs="Arial"/>
                <w:sz w:val="18"/>
                <w:szCs w:val="18"/>
                <w:lang w:val="mk-MK"/>
              </w:rPr>
            </w:pPr>
          </w:p>
          <w:p w14:paraId="7F399982" w14:textId="77777777" w:rsidR="00B20959" w:rsidRPr="00223692" w:rsidRDefault="004C0111" w:rsidP="00660C61">
            <w:pPr>
              <w:jc w:val="center"/>
              <w:rPr>
                <w:rFonts w:ascii="Arial" w:eastAsia="Times New Roman" w:hAnsi="Arial" w:cs="Arial"/>
                <w:b/>
                <w:i/>
                <w:sz w:val="18"/>
                <w:szCs w:val="18"/>
                <w:lang w:val="mk-MK"/>
              </w:rPr>
            </w:pPr>
            <w:r>
              <w:rPr>
                <w:rFonts w:ascii="Arial" w:hAnsi="Arial" w:cs="Arial"/>
                <w:sz w:val="18"/>
                <w:szCs w:val="18"/>
                <w:lang w:val="mk-MK"/>
              </w:rPr>
              <w:t>vazhdimisht</w:t>
            </w:r>
          </w:p>
        </w:tc>
        <w:tc>
          <w:tcPr>
            <w:tcW w:w="1350" w:type="dxa"/>
            <w:tcBorders>
              <w:top w:val="single" w:sz="4" w:space="0" w:color="000000"/>
              <w:left w:val="single" w:sz="4" w:space="0" w:color="auto"/>
              <w:right w:val="single" w:sz="4" w:space="0" w:color="000000"/>
            </w:tcBorders>
            <w:shd w:val="clear" w:color="auto" w:fill="FFFFFF" w:themeFill="background1"/>
          </w:tcPr>
          <w:p w14:paraId="5FC31FB6" w14:textId="77777777" w:rsidR="00B20959" w:rsidRPr="00223692" w:rsidRDefault="00B20959" w:rsidP="00660C61">
            <w:pPr>
              <w:jc w:val="center"/>
              <w:rPr>
                <w:rFonts w:ascii="Arial" w:hAnsi="Arial" w:cs="Arial"/>
                <w:sz w:val="18"/>
                <w:szCs w:val="18"/>
                <w:lang w:val="mk-MK"/>
              </w:rPr>
            </w:pPr>
          </w:p>
          <w:p w14:paraId="5BA48353" w14:textId="77777777" w:rsidR="00B20959" w:rsidRPr="00223692" w:rsidRDefault="00B20959" w:rsidP="00660C61">
            <w:pPr>
              <w:jc w:val="center"/>
              <w:rPr>
                <w:rFonts w:ascii="Arial" w:hAnsi="Arial" w:cs="Arial"/>
                <w:sz w:val="18"/>
                <w:szCs w:val="18"/>
                <w:lang w:val="mk-MK"/>
              </w:rPr>
            </w:pPr>
          </w:p>
          <w:p w14:paraId="514EEACE" w14:textId="77777777" w:rsidR="00B20959" w:rsidRPr="00223692" w:rsidRDefault="00B20959" w:rsidP="00660C61">
            <w:pPr>
              <w:jc w:val="center"/>
              <w:rPr>
                <w:rFonts w:ascii="Arial" w:hAnsi="Arial" w:cs="Arial"/>
                <w:sz w:val="18"/>
                <w:szCs w:val="18"/>
                <w:lang w:val="mk-MK"/>
              </w:rPr>
            </w:pPr>
          </w:p>
          <w:p w14:paraId="5B92D101" w14:textId="77777777" w:rsidR="00B20959" w:rsidRPr="00223692" w:rsidRDefault="004C0111" w:rsidP="00660C61">
            <w:pPr>
              <w:jc w:val="center"/>
              <w:rPr>
                <w:rFonts w:ascii="Arial" w:hAnsi="Arial" w:cs="Arial"/>
                <w:sz w:val="18"/>
                <w:szCs w:val="18"/>
                <w:lang w:val="mk-MK"/>
              </w:rPr>
            </w:pPr>
            <w:r>
              <w:rPr>
                <w:rFonts w:ascii="Arial" w:hAnsi="Arial" w:cs="Arial"/>
                <w:sz w:val="18"/>
                <w:szCs w:val="18"/>
                <w:lang w:val="mk-MK"/>
              </w:rPr>
              <w:t>nuk ka</w:t>
            </w:r>
          </w:p>
        </w:tc>
        <w:tc>
          <w:tcPr>
            <w:tcW w:w="1350" w:type="dxa"/>
            <w:tcBorders>
              <w:top w:val="single" w:sz="4" w:space="0" w:color="000000"/>
              <w:left w:val="single" w:sz="4" w:space="0" w:color="auto"/>
              <w:right w:val="single" w:sz="4" w:space="0" w:color="000000"/>
            </w:tcBorders>
            <w:shd w:val="clear" w:color="auto" w:fill="FFFFFF" w:themeFill="background1"/>
          </w:tcPr>
          <w:p w14:paraId="2A68E9FB" w14:textId="77777777" w:rsidR="00B20959" w:rsidRPr="00223692" w:rsidRDefault="00B20959" w:rsidP="00660C61">
            <w:pPr>
              <w:spacing w:after="0" w:line="240" w:lineRule="auto"/>
              <w:jc w:val="center"/>
              <w:rPr>
                <w:rFonts w:ascii="Arial" w:hAnsi="Arial" w:cs="Arial"/>
                <w:sz w:val="18"/>
                <w:szCs w:val="18"/>
                <w:lang w:val="mk-MK"/>
              </w:rPr>
            </w:pPr>
          </w:p>
          <w:p w14:paraId="15E51B20" w14:textId="77777777" w:rsidR="00B20959" w:rsidRPr="00223692" w:rsidRDefault="00B20959" w:rsidP="00660C61">
            <w:pPr>
              <w:spacing w:after="0" w:line="240" w:lineRule="auto"/>
              <w:jc w:val="center"/>
              <w:rPr>
                <w:rFonts w:ascii="Arial" w:hAnsi="Arial" w:cs="Arial"/>
                <w:sz w:val="18"/>
                <w:szCs w:val="18"/>
                <w:lang w:val="mk-MK"/>
              </w:rPr>
            </w:pPr>
          </w:p>
          <w:p w14:paraId="114E6568" w14:textId="77777777" w:rsidR="00B20959" w:rsidRPr="00223692" w:rsidRDefault="00B20959" w:rsidP="00660C61">
            <w:pPr>
              <w:spacing w:after="0" w:line="240" w:lineRule="auto"/>
              <w:jc w:val="center"/>
              <w:rPr>
                <w:rFonts w:ascii="Arial" w:hAnsi="Arial" w:cs="Arial"/>
                <w:sz w:val="18"/>
                <w:szCs w:val="18"/>
                <w:lang w:val="mk-MK"/>
              </w:rPr>
            </w:pPr>
          </w:p>
          <w:p w14:paraId="079504E7" w14:textId="77777777" w:rsidR="00B20959" w:rsidRPr="00223692" w:rsidRDefault="00B20959" w:rsidP="00660C61">
            <w:pPr>
              <w:spacing w:after="0" w:line="240" w:lineRule="auto"/>
              <w:jc w:val="center"/>
              <w:rPr>
                <w:rFonts w:ascii="Arial" w:hAnsi="Arial" w:cs="Arial"/>
                <w:sz w:val="18"/>
                <w:szCs w:val="18"/>
                <w:lang w:val="mk-MK"/>
              </w:rPr>
            </w:pPr>
          </w:p>
          <w:p w14:paraId="7AE9B548" w14:textId="77777777" w:rsidR="00B20959" w:rsidRPr="00223692" w:rsidRDefault="00B20959" w:rsidP="00660C61">
            <w:pPr>
              <w:spacing w:after="0" w:line="240" w:lineRule="auto"/>
              <w:jc w:val="center"/>
              <w:rPr>
                <w:rFonts w:ascii="Arial" w:hAnsi="Arial" w:cs="Arial"/>
                <w:sz w:val="18"/>
                <w:szCs w:val="18"/>
                <w:lang w:val="mk-MK"/>
              </w:rPr>
            </w:pPr>
          </w:p>
          <w:p w14:paraId="72DC812A" w14:textId="77777777" w:rsidR="00B20959" w:rsidRPr="00223692" w:rsidRDefault="004C0111" w:rsidP="00660C61">
            <w:pPr>
              <w:spacing w:after="0" w:line="240" w:lineRule="auto"/>
              <w:jc w:val="center"/>
              <w:rPr>
                <w:rFonts w:ascii="Arial" w:hAnsi="Arial" w:cs="Arial"/>
                <w:sz w:val="18"/>
                <w:szCs w:val="18"/>
                <w:lang w:val="mk-MK"/>
              </w:rPr>
            </w:pPr>
            <w:r>
              <w:rPr>
                <w:rFonts w:ascii="Arial" w:hAnsi="Arial" w:cs="Arial"/>
                <w:sz w:val="18"/>
                <w:szCs w:val="18"/>
                <w:lang w:val="mk-MK"/>
              </w:rPr>
              <w:t>të kontrolluara</w:t>
            </w:r>
          </w:p>
        </w:tc>
      </w:tr>
      <w:tr w:rsidR="00223692" w:rsidRPr="00223692" w14:paraId="5E3CBEBD" w14:textId="77777777" w:rsidTr="00660C61">
        <w:trPr>
          <w:trHeight w:val="728"/>
        </w:trPr>
        <w:tc>
          <w:tcPr>
            <w:tcW w:w="1786" w:type="dxa"/>
            <w:vMerge/>
            <w:tcBorders>
              <w:left w:val="single" w:sz="4" w:space="0" w:color="000000"/>
              <w:right w:val="single" w:sz="4" w:space="0" w:color="auto"/>
            </w:tcBorders>
            <w:shd w:val="clear" w:color="auto" w:fill="FFFFFF" w:themeFill="background1"/>
          </w:tcPr>
          <w:p w14:paraId="081F82ED" w14:textId="77777777" w:rsidR="00B20959" w:rsidRPr="00223692" w:rsidRDefault="00B20959" w:rsidP="00660C61">
            <w:pPr>
              <w:spacing w:after="0" w:line="240" w:lineRule="auto"/>
              <w:jc w:val="center"/>
              <w:rPr>
                <w:rFonts w:ascii="Arial" w:eastAsia="Times New Roman" w:hAnsi="Arial" w:cs="Arial"/>
                <w:b/>
                <w:i/>
                <w:sz w:val="18"/>
                <w:szCs w:val="20"/>
                <w:lang w:val="mk-MK"/>
              </w:rPr>
            </w:pPr>
          </w:p>
        </w:tc>
        <w:tc>
          <w:tcPr>
            <w:tcW w:w="250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BEE8295" w14:textId="77777777" w:rsidR="00CA37FC" w:rsidRPr="00223692" w:rsidRDefault="00B20959" w:rsidP="009F2804">
            <w:pPr>
              <w:spacing w:after="0" w:line="240" w:lineRule="auto"/>
              <w:jc w:val="center"/>
              <w:rPr>
                <w:rFonts w:ascii="Arial" w:hAnsi="Arial" w:cs="Arial"/>
                <w:sz w:val="18"/>
                <w:szCs w:val="18"/>
                <w:lang w:val="mk-MK"/>
              </w:rPr>
            </w:pPr>
            <w:r w:rsidRPr="00223692">
              <w:rPr>
                <w:rFonts w:ascii="Arial" w:hAnsi="Arial" w:cs="Arial"/>
                <w:sz w:val="18"/>
                <w:szCs w:val="18"/>
                <w:lang w:val="mk-MK"/>
              </w:rPr>
              <w:t>Parandalimi i tentativave të mundshme për ndikim ose presion gjatë mbikëqyrjes, vendosja e masave dhe kryerja e auditimeve të brendshme.</w:t>
            </w:r>
          </w:p>
          <w:p w14:paraId="481468B8" w14:textId="77777777" w:rsidR="00B20959" w:rsidRPr="00223692" w:rsidRDefault="00B20959" w:rsidP="009A0E0E">
            <w:pPr>
              <w:spacing w:after="0" w:line="240" w:lineRule="auto"/>
              <w:jc w:val="center"/>
              <w:rPr>
                <w:rFonts w:ascii="Arial" w:hAnsi="Arial" w:cs="Arial"/>
                <w:sz w:val="18"/>
                <w:szCs w:val="18"/>
                <w:lang w:val="mk-MK"/>
              </w:rPr>
            </w:pPr>
            <w:r w:rsidRPr="00223692">
              <w:rPr>
                <w:rFonts w:ascii="Arial" w:hAnsi="Arial" w:cs="Arial"/>
                <w:sz w:val="18"/>
                <w:szCs w:val="18"/>
                <w:lang w:val="mk-MK"/>
              </w:rPr>
              <w:t>Ruajtja e vazhdueshme e një niveli të lartë të rezistencës ndaj korrupsionit në mbikëqyrjen dhe vendosjen e masave përmes zbatimit të vazhdueshëm të procedurave ISO.</w:t>
            </w:r>
          </w:p>
        </w:tc>
        <w:tc>
          <w:tcPr>
            <w:tcW w:w="1995" w:type="dxa"/>
            <w:tcBorders>
              <w:left w:val="single" w:sz="4" w:space="0" w:color="auto"/>
              <w:right w:val="single" w:sz="4" w:space="0" w:color="auto"/>
            </w:tcBorders>
            <w:shd w:val="clear" w:color="auto" w:fill="FFFFFF" w:themeFill="background1"/>
          </w:tcPr>
          <w:p w14:paraId="52022579" w14:textId="77777777" w:rsidR="00102198" w:rsidRDefault="00102198" w:rsidP="00660C61">
            <w:pPr>
              <w:spacing w:after="0" w:line="240" w:lineRule="auto"/>
              <w:jc w:val="center"/>
              <w:rPr>
                <w:rFonts w:ascii="Arial" w:hAnsi="Arial" w:cs="Arial"/>
                <w:sz w:val="18"/>
                <w:szCs w:val="18"/>
                <w:lang w:val="mk-MK"/>
              </w:rPr>
            </w:pPr>
          </w:p>
          <w:p w14:paraId="37646980" w14:textId="77777777" w:rsidR="00B20959" w:rsidRPr="00223692" w:rsidRDefault="00B20959" w:rsidP="00660C61">
            <w:pPr>
              <w:spacing w:after="0" w:line="240" w:lineRule="auto"/>
              <w:jc w:val="center"/>
              <w:rPr>
                <w:rFonts w:ascii="Arial" w:hAnsi="Arial" w:cs="Arial"/>
                <w:sz w:val="18"/>
                <w:szCs w:val="18"/>
                <w:lang w:val="mk-MK"/>
              </w:rPr>
            </w:pPr>
            <w:r w:rsidRPr="00223692">
              <w:rPr>
                <w:rFonts w:ascii="Arial" w:hAnsi="Arial" w:cs="Arial"/>
                <w:sz w:val="18"/>
                <w:szCs w:val="18"/>
                <w:lang w:val="mk-MK"/>
              </w:rPr>
              <w:t>Refuzimi i urdhrit për veprim në kundërshtim me ligjin dhe aktet nënligjore të Agjencisë</w:t>
            </w:r>
          </w:p>
          <w:p w14:paraId="22302579" w14:textId="77777777" w:rsidR="00CA37FC" w:rsidRPr="00223692" w:rsidRDefault="00CA37FC" w:rsidP="009F2804">
            <w:pPr>
              <w:spacing w:after="0" w:line="240" w:lineRule="auto"/>
              <w:rPr>
                <w:rFonts w:ascii="Arial" w:hAnsi="Arial" w:cs="Arial"/>
                <w:sz w:val="18"/>
                <w:szCs w:val="18"/>
                <w:lang w:val="mk-MK"/>
              </w:rPr>
            </w:pPr>
          </w:p>
          <w:p w14:paraId="2C1A61DC" w14:textId="77777777" w:rsidR="00B20959" w:rsidRPr="00223692" w:rsidRDefault="00B20959" w:rsidP="00660C61">
            <w:pPr>
              <w:spacing w:after="0" w:line="240" w:lineRule="auto"/>
              <w:jc w:val="center"/>
              <w:rPr>
                <w:rFonts w:ascii="Arial" w:hAnsi="Arial" w:cs="Arial"/>
                <w:sz w:val="18"/>
                <w:szCs w:val="18"/>
                <w:lang w:val="mk-MK"/>
              </w:rPr>
            </w:pPr>
            <w:r w:rsidRPr="00223692">
              <w:rPr>
                <w:rFonts w:ascii="Arial" w:hAnsi="Arial" w:cs="Arial"/>
                <w:sz w:val="18"/>
                <w:szCs w:val="18"/>
                <w:lang w:val="mk-MK"/>
              </w:rPr>
              <w:t>Sigurimi i mbrojtjes së duhur për sinjalizuesit/</w:t>
            </w:r>
          </w:p>
          <w:p w14:paraId="0B28F2AB" w14:textId="77777777" w:rsidR="00B20959" w:rsidRPr="00223692" w:rsidRDefault="00B20959" w:rsidP="00660C61">
            <w:pPr>
              <w:spacing w:after="0" w:line="240" w:lineRule="auto"/>
              <w:jc w:val="center"/>
              <w:rPr>
                <w:rFonts w:ascii="Arial" w:hAnsi="Arial" w:cs="Arial"/>
                <w:sz w:val="18"/>
                <w:szCs w:val="18"/>
                <w:lang w:val="mk-MK"/>
              </w:rPr>
            </w:pPr>
            <w:r w:rsidRPr="00223692">
              <w:rPr>
                <w:rFonts w:ascii="Arial" w:hAnsi="Arial" w:cs="Arial"/>
                <w:sz w:val="18"/>
                <w:szCs w:val="18"/>
                <w:lang w:val="mk-MK"/>
              </w:rPr>
              <w:t>punonjës që në mënyrë të arsyeshme refuzuan një urdhër</w:t>
            </w:r>
          </w:p>
        </w:tc>
        <w:tc>
          <w:tcPr>
            <w:tcW w:w="3599" w:type="dxa"/>
            <w:tcBorders>
              <w:left w:val="single" w:sz="4" w:space="0" w:color="auto"/>
              <w:right w:val="single" w:sz="4" w:space="0" w:color="auto"/>
            </w:tcBorders>
            <w:shd w:val="clear" w:color="auto" w:fill="FFFFFF" w:themeFill="background1"/>
          </w:tcPr>
          <w:p w14:paraId="3CF23102" w14:textId="77777777" w:rsidR="00B20959" w:rsidRPr="00223692" w:rsidRDefault="00B20959" w:rsidP="00CA37FC">
            <w:pPr>
              <w:spacing w:after="0"/>
              <w:jc w:val="center"/>
              <w:rPr>
                <w:rFonts w:ascii="Arial" w:hAnsi="Arial" w:cs="Arial"/>
                <w:sz w:val="18"/>
                <w:szCs w:val="18"/>
                <w:lang w:val="mk-MK"/>
              </w:rPr>
            </w:pPr>
            <w:r w:rsidRPr="00223692">
              <w:rPr>
                <w:rFonts w:ascii="Arial" w:hAnsi="Arial" w:cs="Arial"/>
                <w:sz w:val="18"/>
                <w:szCs w:val="18"/>
                <w:lang w:val="mk-MK"/>
              </w:rPr>
              <w:t>Të gjitha njësitë organizative në kuadër të Agjencisë që kryejnë mbikëqyrje</w:t>
            </w:r>
          </w:p>
          <w:p w14:paraId="324EFDFB" w14:textId="77777777" w:rsidR="00B20959" w:rsidRPr="00223692" w:rsidRDefault="00B20959" w:rsidP="00660C61">
            <w:pPr>
              <w:spacing w:after="0"/>
              <w:jc w:val="center"/>
              <w:rPr>
                <w:rFonts w:ascii="Arial" w:hAnsi="Arial" w:cs="Arial"/>
                <w:sz w:val="18"/>
                <w:szCs w:val="18"/>
                <w:lang w:val="mk-MK"/>
              </w:rPr>
            </w:pPr>
          </w:p>
          <w:p w14:paraId="1B726160" w14:textId="77777777" w:rsidR="00B20959" w:rsidRPr="00223692" w:rsidRDefault="003372AC" w:rsidP="00660C61">
            <w:pPr>
              <w:spacing w:after="0"/>
              <w:jc w:val="center"/>
              <w:rPr>
                <w:rFonts w:ascii="Arial" w:hAnsi="Arial" w:cs="Arial"/>
                <w:sz w:val="18"/>
                <w:szCs w:val="18"/>
                <w:lang w:val="mk-MK"/>
              </w:rPr>
            </w:pPr>
            <w:r w:rsidRPr="00223692">
              <w:rPr>
                <w:rFonts w:ascii="Arial" w:hAnsi="Arial" w:cs="Arial"/>
                <w:sz w:val="18"/>
                <w:szCs w:val="18"/>
                <w:lang w:val="mk-MK"/>
              </w:rPr>
              <w:t>Shërbimi i Auditimit të Brendshëm</w:t>
            </w:r>
          </w:p>
          <w:p w14:paraId="0E0E5587" w14:textId="77777777" w:rsidR="00CA37FC" w:rsidRPr="00223692" w:rsidRDefault="00CA37FC" w:rsidP="009F2804">
            <w:pPr>
              <w:spacing w:after="0"/>
              <w:rPr>
                <w:rFonts w:ascii="Arial" w:hAnsi="Arial" w:cs="Arial"/>
                <w:sz w:val="18"/>
                <w:szCs w:val="18"/>
                <w:lang w:val="mk-MK"/>
              </w:rPr>
            </w:pPr>
          </w:p>
          <w:p w14:paraId="56F3D19E" w14:textId="77777777" w:rsidR="00CA37FC" w:rsidRPr="00223692" w:rsidRDefault="00CA37FC" w:rsidP="00660C61">
            <w:pPr>
              <w:spacing w:after="0"/>
              <w:jc w:val="center"/>
              <w:rPr>
                <w:rFonts w:ascii="Arial" w:hAnsi="Arial" w:cs="Arial"/>
                <w:sz w:val="18"/>
                <w:szCs w:val="18"/>
                <w:lang w:val="mk-MK"/>
              </w:rPr>
            </w:pPr>
          </w:p>
          <w:p w14:paraId="62BD6F5E" w14:textId="77777777" w:rsidR="00B20959" w:rsidRPr="00223692" w:rsidRDefault="00B20959" w:rsidP="00660C61">
            <w:pPr>
              <w:spacing w:after="0"/>
              <w:jc w:val="center"/>
              <w:rPr>
                <w:rFonts w:ascii="Arial" w:hAnsi="Arial" w:cs="Arial"/>
                <w:sz w:val="18"/>
                <w:szCs w:val="18"/>
                <w:lang w:val="mk-MK"/>
              </w:rPr>
            </w:pPr>
            <w:r w:rsidRPr="00223692">
              <w:rPr>
                <w:rFonts w:ascii="Arial" w:hAnsi="Arial" w:cs="Arial"/>
                <w:sz w:val="18"/>
                <w:szCs w:val="18"/>
                <w:lang w:val="mk-MK"/>
              </w:rPr>
              <w:t>Oficeri për Mbrojtjen e Denoncuesve</w:t>
            </w:r>
          </w:p>
          <w:p w14:paraId="1866423E" w14:textId="77777777" w:rsidR="00B20959" w:rsidRPr="00223692" w:rsidRDefault="00B20959" w:rsidP="009F2804">
            <w:pPr>
              <w:spacing w:after="0"/>
              <w:rPr>
                <w:rFonts w:ascii="Arial" w:hAnsi="Arial" w:cs="Arial"/>
                <w:sz w:val="18"/>
                <w:szCs w:val="18"/>
                <w:lang w:val="mk-MK"/>
              </w:rPr>
            </w:pPr>
          </w:p>
          <w:p w14:paraId="2607F6E1" w14:textId="77777777" w:rsidR="00B20959" w:rsidRPr="00223692" w:rsidRDefault="00B20959" w:rsidP="00660C61">
            <w:pPr>
              <w:spacing w:after="0"/>
              <w:jc w:val="center"/>
              <w:rPr>
                <w:rFonts w:ascii="Arial" w:hAnsi="Arial" w:cs="Arial"/>
                <w:sz w:val="18"/>
                <w:szCs w:val="18"/>
                <w:lang w:val="mk-MK"/>
              </w:rPr>
            </w:pPr>
            <w:r w:rsidRPr="00223692">
              <w:rPr>
                <w:rFonts w:ascii="Arial" w:hAnsi="Arial" w:cs="Arial"/>
                <w:sz w:val="18"/>
                <w:szCs w:val="18"/>
                <w:lang w:val="mk-MK"/>
              </w:rPr>
              <w:t>Organizata sindikale e Agjencisë</w:t>
            </w:r>
          </w:p>
        </w:tc>
        <w:tc>
          <w:tcPr>
            <w:tcW w:w="1440" w:type="dxa"/>
            <w:tcBorders>
              <w:left w:val="single" w:sz="4" w:space="0" w:color="auto"/>
              <w:right w:val="single" w:sz="4" w:space="0" w:color="auto"/>
            </w:tcBorders>
            <w:shd w:val="clear" w:color="auto" w:fill="FFFFFF" w:themeFill="background1"/>
          </w:tcPr>
          <w:p w14:paraId="1A96CB9D" w14:textId="77777777" w:rsidR="00B20959" w:rsidRPr="00223692" w:rsidRDefault="00B20959" w:rsidP="00660C61">
            <w:pPr>
              <w:jc w:val="center"/>
              <w:rPr>
                <w:rFonts w:ascii="Arial" w:hAnsi="Arial" w:cs="Arial"/>
                <w:sz w:val="18"/>
                <w:szCs w:val="18"/>
                <w:lang w:val="mk-MK"/>
              </w:rPr>
            </w:pPr>
          </w:p>
          <w:p w14:paraId="260E1084" w14:textId="77777777" w:rsidR="00B20959" w:rsidRPr="00223692" w:rsidRDefault="00B20959" w:rsidP="00660C61">
            <w:pPr>
              <w:jc w:val="center"/>
              <w:rPr>
                <w:rFonts w:ascii="Arial" w:hAnsi="Arial" w:cs="Arial"/>
                <w:sz w:val="18"/>
                <w:szCs w:val="18"/>
                <w:lang w:val="mk-MK"/>
              </w:rPr>
            </w:pPr>
          </w:p>
          <w:p w14:paraId="049C6090" w14:textId="77777777" w:rsidR="00B20959" w:rsidRPr="00223692" w:rsidRDefault="00B20959" w:rsidP="00660C61">
            <w:pPr>
              <w:jc w:val="center"/>
              <w:rPr>
                <w:rFonts w:ascii="Arial" w:hAnsi="Arial" w:cs="Arial"/>
                <w:sz w:val="18"/>
                <w:szCs w:val="18"/>
                <w:lang w:val="mk-MK"/>
              </w:rPr>
            </w:pPr>
          </w:p>
          <w:p w14:paraId="7E312829" w14:textId="77777777" w:rsidR="00B20959" w:rsidRPr="00223692" w:rsidRDefault="004C0111" w:rsidP="00660C61">
            <w:pPr>
              <w:jc w:val="center"/>
              <w:rPr>
                <w:rFonts w:ascii="Arial" w:hAnsi="Arial" w:cs="Arial"/>
                <w:sz w:val="18"/>
                <w:szCs w:val="18"/>
                <w:lang w:val="mk-MK"/>
              </w:rPr>
            </w:pPr>
            <w:r>
              <w:rPr>
                <w:rFonts w:ascii="Arial" w:hAnsi="Arial" w:cs="Arial"/>
                <w:sz w:val="18"/>
                <w:szCs w:val="18"/>
                <w:lang w:val="mk-MK"/>
              </w:rPr>
              <w:t>vazhdimisht</w:t>
            </w:r>
          </w:p>
          <w:p w14:paraId="3EDEA169" w14:textId="77777777" w:rsidR="00B20959" w:rsidRPr="00223692" w:rsidRDefault="00B20959" w:rsidP="00660C61">
            <w:pPr>
              <w:jc w:val="center"/>
              <w:rPr>
                <w:rFonts w:ascii="Arial" w:hAnsi="Arial" w:cs="Arial"/>
                <w:sz w:val="18"/>
                <w:szCs w:val="18"/>
                <w:lang w:val="mk-MK"/>
              </w:rPr>
            </w:pPr>
          </w:p>
        </w:tc>
        <w:tc>
          <w:tcPr>
            <w:tcW w:w="1350" w:type="dxa"/>
            <w:tcBorders>
              <w:left w:val="single" w:sz="4" w:space="0" w:color="auto"/>
              <w:right w:val="single" w:sz="4" w:space="0" w:color="000000"/>
            </w:tcBorders>
            <w:shd w:val="clear" w:color="auto" w:fill="FFFFFF" w:themeFill="background1"/>
          </w:tcPr>
          <w:p w14:paraId="7DE2FE00" w14:textId="77777777" w:rsidR="00B20959" w:rsidRPr="00223692" w:rsidRDefault="00B20959" w:rsidP="00660C61">
            <w:pPr>
              <w:jc w:val="center"/>
              <w:rPr>
                <w:rFonts w:ascii="Arial" w:hAnsi="Arial" w:cs="Arial"/>
                <w:sz w:val="18"/>
                <w:szCs w:val="18"/>
                <w:lang w:val="mk-MK"/>
              </w:rPr>
            </w:pPr>
          </w:p>
          <w:p w14:paraId="0837436F" w14:textId="77777777" w:rsidR="00B20959" w:rsidRPr="00223692" w:rsidRDefault="00B20959" w:rsidP="00660C61">
            <w:pPr>
              <w:jc w:val="center"/>
              <w:rPr>
                <w:rFonts w:ascii="Arial" w:hAnsi="Arial" w:cs="Arial"/>
                <w:sz w:val="18"/>
                <w:szCs w:val="18"/>
                <w:lang w:val="mk-MK"/>
              </w:rPr>
            </w:pPr>
          </w:p>
          <w:p w14:paraId="4B22AF7F" w14:textId="77777777" w:rsidR="00B20959" w:rsidRPr="00223692" w:rsidRDefault="00B20959" w:rsidP="00660C61">
            <w:pPr>
              <w:jc w:val="center"/>
              <w:rPr>
                <w:rFonts w:ascii="Arial" w:hAnsi="Arial" w:cs="Arial"/>
                <w:sz w:val="18"/>
                <w:szCs w:val="18"/>
                <w:lang w:val="mk-MK"/>
              </w:rPr>
            </w:pPr>
          </w:p>
          <w:p w14:paraId="0CB3817E" w14:textId="77777777" w:rsidR="00B20959" w:rsidRPr="00223692" w:rsidRDefault="004C0111" w:rsidP="00660C61">
            <w:pPr>
              <w:jc w:val="center"/>
              <w:rPr>
                <w:rFonts w:ascii="Arial" w:hAnsi="Arial" w:cs="Arial"/>
                <w:sz w:val="18"/>
                <w:szCs w:val="18"/>
                <w:lang w:val="mk-MK"/>
              </w:rPr>
            </w:pPr>
            <w:r>
              <w:rPr>
                <w:rFonts w:ascii="Arial" w:hAnsi="Arial" w:cs="Arial"/>
                <w:sz w:val="18"/>
                <w:szCs w:val="18"/>
                <w:lang w:val="mk-MK"/>
              </w:rPr>
              <w:t>nuk ka</w:t>
            </w:r>
          </w:p>
        </w:tc>
        <w:tc>
          <w:tcPr>
            <w:tcW w:w="1350" w:type="dxa"/>
            <w:tcBorders>
              <w:left w:val="single" w:sz="4" w:space="0" w:color="auto"/>
              <w:right w:val="single" w:sz="4" w:space="0" w:color="000000"/>
            </w:tcBorders>
            <w:shd w:val="clear" w:color="auto" w:fill="FFFFFF" w:themeFill="background1"/>
          </w:tcPr>
          <w:p w14:paraId="5D7B76E5" w14:textId="77777777" w:rsidR="00B20959" w:rsidRPr="00223692" w:rsidRDefault="00B20959" w:rsidP="00660C61">
            <w:pPr>
              <w:spacing w:after="0" w:line="240" w:lineRule="auto"/>
              <w:jc w:val="center"/>
              <w:rPr>
                <w:rFonts w:ascii="Arial" w:hAnsi="Arial" w:cs="Arial"/>
                <w:sz w:val="18"/>
                <w:szCs w:val="18"/>
                <w:lang w:val="mk-MK"/>
              </w:rPr>
            </w:pPr>
          </w:p>
          <w:p w14:paraId="648D0AE7" w14:textId="77777777" w:rsidR="00B20959" w:rsidRPr="00223692" w:rsidRDefault="00B20959" w:rsidP="00660C61">
            <w:pPr>
              <w:spacing w:after="0" w:line="240" w:lineRule="auto"/>
              <w:jc w:val="center"/>
              <w:rPr>
                <w:rFonts w:ascii="Arial" w:hAnsi="Arial" w:cs="Arial"/>
                <w:sz w:val="18"/>
                <w:szCs w:val="18"/>
                <w:lang w:val="mk-MK"/>
              </w:rPr>
            </w:pPr>
          </w:p>
          <w:p w14:paraId="11E82659" w14:textId="77777777" w:rsidR="00B20959" w:rsidRPr="00223692" w:rsidRDefault="00B20959" w:rsidP="00660C61">
            <w:pPr>
              <w:spacing w:after="0" w:line="240" w:lineRule="auto"/>
              <w:jc w:val="center"/>
              <w:rPr>
                <w:rFonts w:ascii="Arial" w:hAnsi="Arial" w:cs="Arial"/>
                <w:sz w:val="18"/>
                <w:szCs w:val="18"/>
                <w:lang w:val="mk-MK"/>
              </w:rPr>
            </w:pPr>
          </w:p>
          <w:p w14:paraId="1213E36D" w14:textId="77777777" w:rsidR="00B20959" w:rsidRPr="00223692" w:rsidRDefault="00B20959" w:rsidP="00660C61">
            <w:pPr>
              <w:spacing w:after="0" w:line="240" w:lineRule="auto"/>
              <w:jc w:val="center"/>
              <w:rPr>
                <w:rFonts w:ascii="Arial" w:hAnsi="Arial" w:cs="Arial"/>
                <w:sz w:val="18"/>
                <w:szCs w:val="18"/>
                <w:lang w:val="mk-MK"/>
              </w:rPr>
            </w:pPr>
          </w:p>
          <w:p w14:paraId="20087DD4" w14:textId="77777777" w:rsidR="00B20959" w:rsidRPr="00223692" w:rsidRDefault="00B20959" w:rsidP="00660C61">
            <w:pPr>
              <w:spacing w:after="0" w:line="240" w:lineRule="auto"/>
              <w:jc w:val="center"/>
              <w:rPr>
                <w:rFonts w:ascii="Arial" w:hAnsi="Arial" w:cs="Arial"/>
                <w:sz w:val="18"/>
                <w:szCs w:val="18"/>
                <w:lang w:val="mk-MK"/>
              </w:rPr>
            </w:pPr>
          </w:p>
          <w:p w14:paraId="00CFEE75" w14:textId="77777777" w:rsidR="00B20959" w:rsidRPr="00223692" w:rsidRDefault="004C0111" w:rsidP="00660C61">
            <w:pPr>
              <w:spacing w:after="0" w:line="240" w:lineRule="auto"/>
              <w:jc w:val="center"/>
              <w:rPr>
                <w:rFonts w:ascii="Arial" w:hAnsi="Arial" w:cs="Arial"/>
                <w:sz w:val="18"/>
                <w:szCs w:val="18"/>
                <w:lang w:val="mk-MK"/>
              </w:rPr>
            </w:pPr>
            <w:r>
              <w:rPr>
                <w:rFonts w:ascii="Arial" w:hAnsi="Arial" w:cs="Arial"/>
                <w:sz w:val="18"/>
                <w:szCs w:val="18"/>
                <w:lang w:val="mk-MK"/>
              </w:rPr>
              <w:t>të kontrolluara</w:t>
            </w:r>
          </w:p>
          <w:p w14:paraId="43FBBA12" w14:textId="77777777" w:rsidR="00B20959" w:rsidRPr="00223692" w:rsidRDefault="00B20959" w:rsidP="00660C61">
            <w:pPr>
              <w:spacing w:after="0" w:line="240" w:lineRule="auto"/>
              <w:jc w:val="center"/>
              <w:rPr>
                <w:rFonts w:ascii="Arial" w:hAnsi="Arial" w:cs="Arial"/>
                <w:sz w:val="18"/>
                <w:szCs w:val="18"/>
                <w:lang w:val="mk-MK"/>
              </w:rPr>
            </w:pPr>
          </w:p>
          <w:p w14:paraId="2B1E2DE4" w14:textId="77777777" w:rsidR="00B20959" w:rsidRPr="00223692" w:rsidRDefault="00B20959" w:rsidP="00660C61">
            <w:pPr>
              <w:spacing w:after="0" w:line="240" w:lineRule="auto"/>
              <w:jc w:val="center"/>
              <w:rPr>
                <w:rFonts w:ascii="Arial" w:hAnsi="Arial" w:cs="Arial"/>
                <w:sz w:val="18"/>
                <w:szCs w:val="18"/>
                <w:lang w:val="mk-MK"/>
              </w:rPr>
            </w:pPr>
          </w:p>
          <w:p w14:paraId="3FD3519B" w14:textId="77777777" w:rsidR="00B20959" w:rsidRPr="00223692" w:rsidRDefault="00B20959" w:rsidP="00660C61">
            <w:pPr>
              <w:spacing w:after="0" w:line="240" w:lineRule="auto"/>
              <w:jc w:val="center"/>
              <w:rPr>
                <w:rFonts w:ascii="Arial" w:hAnsi="Arial" w:cs="Arial"/>
                <w:sz w:val="18"/>
                <w:szCs w:val="18"/>
                <w:lang w:val="mk-MK"/>
              </w:rPr>
            </w:pPr>
          </w:p>
          <w:p w14:paraId="28EE6F9E" w14:textId="77777777" w:rsidR="00B20959" w:rsidRPr="00223692" w:rsidRDefault="00B20959" w:rsidP="00660C61">
            <w:pPr>
              <w:spacing w:after="0" w:line="240" w:lineRule="auto"/>
              <w:jc w:val="center"/>
              <w:rPr>
                <w:rFonts w:ascii="Arial" w:hAnsi="Arial" w:cs="Arial"/>
                <w:sz w:val="18"/>
                <w:szCs w:val="18"/>
                <w:lang w:val="mk-MK"/>
              </w:rPr>
            </w:pPr>
          </w:p>
        </w:tc>
      </w:tr>
      <w:tr w:rsidR="00223692" w:rsidRPr="00223692" w14:paraId="245C043B" w14:textId="77777777" w:rsidTr="009F2804">
        <w:trPr>
          <w:trHeight w:val="1205"/>
        </w:trPr>
        <w:tc>
          <w:tcPr>
            <w:tcW w:w="1786" w:type="dxa"/>
          </w:tcPr>
          <w:p w14:paraId="5B6E374B" w14:textId="77777777" w:rsidR="00B20959" w:rsidRPr="00223692" w:rsidRDefault="001F5B46" w:rsidP="008E613B">
            <w:pPr>
              <w:spacing w:after="0"/>
              <w:jc w:val="center"/>
              <w:rPr>
                <w:rFonts w:ascii="Arial" w:hAnsi="Arial" w:cs="Arial"/>
                <w:sz w:val="20"/>
                <w:szCs w:val="20"/>
                <w:lang w:val="mk-MK"/>
              </w:rPr>
            </w:pPr>
            <w:r w:rsidRPr="00223692">
              <w:rPr>
                <w:rFonts w:ascii="Arial" w:eastAsia="Times New Roman" w:hAnsi="Arial" w:cs="Arial"/>
                <w:sz w:val="18"/>
                <w:szCs w:val="18"/>
                <w:lang w:val="mk-MK"/>
              </w:rPr>
              <w:lastRenderedPageBreak/>
              <w:t>Zbatimi jo i duhur i legjislacionit për menaxhimin e konfliktit të interesit</w:t>
            </w:r>
          </w:p>
        </w:tc>
        <w:tc>
          <w:tcPr>
            <w:tcW w:w="2505" w:type="dxa"/>
          </w:tcPr>
          <w:p w14:paraId="2E4C21E5" w14:textId="77777777" w:rsidR="009F2804" w:rsidRPr="00223692" w:rsidRDefault="009F2804" w:rsidP="009F2804">
            <w:pPr>
              <w:spacing w:line="240" w:lineRule="auto"/>
              <w:rPr>
                <w:rFonts w:ascii="Arial" w:eastAsia="Times New Roman" w:hAnsi="Arial" w:cs="Arial"/>
                <w:sz w:val="18"/>
                <w:szCs w:val="18"/>
                <w:lang w:val="mk-MK"/>
              </w:rPr>
            </w:pPr>
          </w:p>
          <w:p w14:paraId="39BD2C61" w14:textId="64FDA9E1" w:rsidR="009B6478" w:rsidRPr="00223692" w:rsidRDefault="0020267E" w:rsidP="009B6478">
            <w:pPr>
              <w:spacing w:line="240" w:lineRule="auto"/>
              <w:jc w:val="center"/>
              <w:rPr>
                <w:rFonts w:ascii="Arial" w:eastAsia="Times New Roman" w:hAnsi="Arial" w:cs="Arial"/>
                <w:sz w:val="18"/>
                <w:szCs w:val="18"/>
                <w:lang w:val="mk-MK"/>
              </w:rPr>
            </w:pPr>
            <w:r>
              <w:rPr>
                <w:rFonts w:ascii="Arial" w:eastAsia="Times New Roman" w:hAnsi="Arial" w:cs="Arial"/>
                <w:sz w:val="18"/>
                <w:szCs w:val="18"/>
                <w:lang w:val="mk-MK"/>
              </w:rPr>
              <w:t xml:space="preserve">Duke vepruar sipas </w:t>
            </w:r>
            <w:r w:rsidR="009B6478" w:rsidRPr="009B6478">
              <w:rPr>
                <w:rFonts w:ascii="Arial" w:hAnsi="Arial" w:cs="Arial"/>
                <w:iCs/>
                <w:sz w:val="18"/>
                <w:szCs w:val="18"/>
                <w:lang w:val="mk-MK"/>
              </w:rPr>
              <w:t xml:space="preserve">Procedurës </w:t>
            </w:r>
            <w:r w:rsidR="009B6478" w:rsidRPr="009B6478">
              <w:rPr>
                <w:rFonts w:ascii="Arial" w:eastAsia="Times New Roman" w:hAnsi="Arial" w:cs="Arial"/>
                <w:iCs/>
                <w:sz w:val="18"/>
                <w:szCs w:val="18"/>
                <w:lang w:val="mk-MK"/>
              </w:rPr>
              <w:t>së Menaxhimit të Konfliktit të Interesit të Agjencisë</w:t>
            </w:r>
          </w:p>
        </w:tc>
        <w:tc>
          <w:tcPr>
            <w:tcW w:w="1995" w:type="dxa"/>
          </w:tcPr>
          <w:p w14:paraId="295C4514" w14:textId="77777777" w:rsidR="0020267E" w:rsidRDefault="0020267E" w:rsidP="009F2804">
            <w:pPr>
              <w:spacing w:line="240" w:lineRule="auto"/>
              <w:jc w:val="center"/>
              <w:rPr>
                <w:rFonts w:ascii="Arial" w:hAnsi="Arial" w:cs="Arial"/>
                <w:sz w:val="18"/>
                <w:szCs w:val="18"/>
                <w:lang w:val="mk-MK"/>
              </w:rPr>
            </w:pPr>
          </w:p>
          <w:p w14:paraId="53D2E0D0" w14:textId="77777777" w:rsidR="00B20959" w:rsidRPr="00223692" w:rsidRDefault="00B20959" w:rsidP="009F2804">
            <w:pPr>
              <w:spacing w:line="240" w:lineRule="auto"/>
              <w:jc w:val="center"/>
              <w:rPr>
                <w:rFonts w:ascii="Arial" w:hAnsi="Arial" w:cs="Arial"/>
                <w:sz w:val="18"/>
                <w:szCs w:val="18"/>
                <w:lang w:val="mk-MK"/>
              </w:rPr>
            </w:pPr>
            <w:r w:rsidRPr="00223692">
              <w:rPr>
                <w:rFonts w:ascii="Arial" w:hAnsi="Arial" w:cs="Arial"/>
                <w:sz w:val="18"/>
                <w:szCs w:val="18"/>
                <w:lang w:val="mk-MK"/>
              </w:rPr>
              <w:t>Raportimi i konfliktit të interesit nga punonjësit e Agjencisë</w:t>
            </w:r>
          </w:p>
        </w:tc>
        <w:tc>
          <w:tcPr>
            <w:tcW w:w="3599" w:type="dxa"/>
          </w:tcPr>
          <w:p w14:paraId="5C076F84" w14:textId="77777777" w:rsidR="0020267E" w:rsidRDefault="0020267E" w:rsidP="009F2804">
            <w:pPr>
              <w:spacing w:after="0" w:line="240" w:lineRule="auto"/>
              <w:jc w:val="center"/>
              <w:rPr>
                <w:rFonts w:ascii="Arial" w:eastAsia="Times New Roman" w:hAnsi="Arial" w:cs="Arial"/>
                <w:sz w:val="18"/>
                <w:szCs w:val="20"/>
                <w:lang w:val="mk-MK"/>
              </w:rPr>
            </w:pPr>
          </w:p>
          <w:p w14:paraId="244E00A2" w14:textId="77777777" w:rsidR="0020267E" w:rsidRDefault="0020267E" w:rsidP="009F2804">
            <w:pPr>
              <w:spacing w:after="0" w:line="240" w:lineRule="auto"/>
              <w:jc w:val="center"/>
              <w:rPr>
                <w:rFonts w:ascii="Arial" w:eastAsia="Times New Roman" w:hAnsi="Arial" w:cs="Arial"/>
                <w:sz w:val="18"/>
                <w:szCs w:val="20"/>
                <w:lang w:val="mk-MK"/>
              </w:rPr>
            </w:pPr>
          </w:p>
          <w:p w14:paraId="5F7B0CFC" w14:textId="77777777" w:rsidR="00B20959" w:rsidRPr="00223692" w:rsidRDefault="00B20959" w:rsidP="009F2804">
            <w:pPr>
              <w:spacing w:after="0" w:line="240" w:lineRule="auto"/>
              <w:jc w:val="center"/>
              <w:rPr>
                <w:rFonts w:ascii="Arial" w:hAnsi="Arial" w:cs="Arial"/>
                <w:sz w:val="20"/>
                <w:szCs w:val="20"/>
                <w:lang w:val="mk-MK"/>
              </w:rPr>
            </w:pPr>
            <w:r w:rsidRPr="00223692">
              <w:rPr>
                <w:rFonts w:ascii="Arial" w:eastAsia="Times New Roman" w:hAnsi="Arial" w:cs="Arial"/>
                <w:sz w:val="18"/>
                <w:szCs w:val="20"/>
                <w:lang w:val="mk-MK"/>
              </w:rPr>
              <w:t>Të gjitha njësitë organizative në Shërbimin Profesional të Agjencisë/Drejtori/Anëtarët e Këshillit</w:t>
            </w:r>
          </w:p>
        </w:tc>
        <w:tc>
          <w:tcPr>
            <w:tcW w:w="1440" w:type="dxa"/>
          </w:tcPr>
          <w:p w14:paraId="0EADF9FD" w14:textId="77777777" w:rsidR="009F2804" w:rsidRPr="00223692" w:rsidRDefault="009F2804" w:rsidP="009F2804">
            <w:pPr>
              <w:spacing w:line="240" w:lineRule="auto"/>
              <w:rPr>
                <w:rFonts w:ascii="Arial" w:eastAsia="Times New Roman" w:hAnsi="Arial" w:cs="Arial"/>
                <w:sz w:val="18"/>
                <w:szCs w:val="18"/>
                <w:lang w:val="mk-MK"/>
              </w:rPr>
            </w:pPr>
          </w:p>
          <w:p w14:paraId="435C1B9A" w14:textId="77777777" w:rsidR="0020267E" w:rsidRDefault="0020267E" w:rsidP="0020267E">
            <w:pPr>
              <w:jc w:val="center"/>
              <w:rPr>
                <w:rFonts w:ascii="Arial" w:hAnsi="Arial" w:cs="Arial"/>
                <w:sz w:val="18"/>
                <w:szCs w:val="18"/>
                <w:lang w:val="mk-MK"/>
              </w:rPr>
            </w:pPr>
          </w:p>
          <w:p w14:paraId="3F9BC1BB" w14:textId="77777777" w:rsidR="0020267E" w:rsidRPr="00223692" w:rsidRDefault="004C0111" w:rsidP="0020267E">
            <w:pPr>
              <w:jc w:val="center"/>
              <w:rPr>
                <w:rFonts w:ascii="Arial" w:hAnsi="Arial" w:cs="Arial"/>
                <w:sz w:val="18"/>
                <w:szCs w:val="18"/>
                <w:lang w:val="mk-MK"/>
              </w:rPr>
            </w:pPr>
            <w:r>
              <w:rPr>
                <w:rFonts w:ascii="Arial" w:hAnsi="Arial" w:cs="Arial"/>
                <w:sz w:val="18"/>
                <w:szCs w:val="18"/>
                <w:lang w:val="mk-MK"/>
              </w:rPr>
              <w:t>vazhdimisht</w:t>
            </w:r>
          </w:p>
          <w:p w14:paraId="5563F428" w14:textId="77777777" w:rsidR="00B20959" w:rsidRPr="00223692" w:rsidRDefault="00B20959" w:rsidP="009F2804">
            <w:pPr>
              <w:spacing w:line="240" w:lineRule="auto"/>
              <w:jc w:val="center"/>
              <w:rPr>
                <w:rFonts w:ascii="Arial" w:hAnsi="Arial" w:cs="Arial"/>
                <w:sz w:val="20"/>
                <w:szCs w:val="20"/>
                <w:lang w:val="mk-MK"/>
              </w:rPr>
            </w:pPr>
          </w:p>
        </w:tc>
        <w:tc>
          <w:tcPr>
            <w:tcW w:w="1350" w:type="dxa"/>
          </w:tcPr>
          <w:p w14:paraId="769A7879" w14:textId="77777777" w:rsidR="00B20959" w:rsidRPr="00223692" w:rsidRDefault="00B20959" w:rsidP="009F2804">
            <w:pPr>
              <w:spacing w:line="240" w:lineRule="auto"/>
              <w:jc w:val="center"/>
              <w:rPr>
                <w:rFonts w:ascii="Arial" w:hAnsi="Arial" w:cs="Arial"/>
                <w:sz w:val="18"/>
                <w:szCs w:val="18"/>
                <w:lang w:val="mk-MK"/>
              </w:rPr>
            </w:pPr>
          </w:p>
          <w:p w14:paraId="1F0CA0E9" w14:textId="77777777" w:rsidR="00B20959" w:rsidRPr="00223692" w:rsidRDefault="00B20959" w:rsidP="009F2804">
            <w:pPr>
              <w:spacing w:line="240" w:lineRule="auto"/>
              <w:jc w:val="center"/>
              <w:rPr>
                <w:rFonts w:ascii="Arial" w:hAnsi="Arial" w:cs="Arial"/>
                <w:sz w:val="18"/>
                <w:szCs w:val="18"/>
                <w:lang w:val="mk-MK"/>
              </w:rPr>
            </w:pPr>
          </w:p>
          <w:p w14:paraId="4285D44D" w14:textId="77777777" w:rsidR="00B20959" w:rsidRPr="00223692" w:rsidRDefault="004C0111" w:rsidP="009F2804">
            <w:pPr>
              <w:spacing w:line="240" w:lineRule="auto"/>
              <w:jc w:val="center"/>
              <w:rPr>
                <w:rFonts w:ascii="Arial" w:hAnsi="Arial" w:cs="Arial"/>
                <w:sz w:val="20"/>
                <w:szCs w:val="20"/>
                <w:lang w:val="mk-MK"/>
              </w:rPr>
            </w:pPr>
            <w:r>
              <w:rPr>
                <w:rFonts w:ascii="Arial" w:hAnsi="Arial" w:cs="Arial"/>
                <w:sz w:val="18"/>
                <w:szCs w:val="18"/>
                <w:lang w:val="mk-MK"/>
              </w:rPr>
              <w:t>nuk ka</w:t>
            </w:r>
          </w:p>
        </w:tc>
        <w:tc>
          <w:tcPr>
            <w:tcW w:w="1350" w:type="dxa"/>
          </w:tcPr>
          <w:p w14:paraId="232E56A8" w14:textId="77777777" w:rsidR="00B20959" w:rsidRPr="00223692" w:rsidRDefault="00B20959" w:rsidP="009F2804">
            <w:pPr>
              <w:spacing w:line="240" w:lineRule="auto"/>
              <w:jc w:val="center"/>
              <w:rPr>
                <w:rFonts w:ascii="Arial" w:hAnsi="Arial" w:cs="Arial"/>
                <w:sz w:val="18"/>
                <w:szCs w:val="18"/>
                <w:lang w:val="mk-MK"/>
              </w:rPr>
            </w:pPr>
          </w:p>
          <w:p w14:paraId="43BF25DA" w14:textId="77777777" w:rsidR="00B20959" w:rsidRPr="00223692" w:rsidRDefault="00B20959" w:rsidP="009F2804">
            <w:pPr>
              <w:spacing w:line="240" w:lineRule="auto"/>
              <w:rPr>
                <w:rFonts w:ascii="Arial" w:hAnsi="Arial" w:cs="Arial"/>
                <w:sz w:val="18"/>
                <w:szCs w:val="18"/>
                <w:lang w:val="mk-MK"/>
              </w:rPr>
            </w:pPr>
          </w:p>
          <w:p w14:paraId="171BE63A" w14:textId="77777777" w:rsidR="00B20959" w:rsidRPr="00223692" w:rsidRDefault="004C0111" w:rsidP="009F2804">
            <w:pPr>
              <w:spacing w:line="240" w:lineRule="auto"/>
              <w:rPr>
                <w:rFonts w:ascii="Arial" w:hAnsi="Arial" w:cs="Arial"/>
                <w:sz w:val="20"/>
                <w:szCs w:val="20"/>
                <w:lang w:val="mk-MK"/>
              </w:rPr>
            </w:pPr>
            <w:r>
              <w:rPr>
                <w:rFonts w:ascii="Arial" w:hAnsi="Arial" w:cs="Arial"/>
                <w:sz w:val="18"/>
                <w:szCs w:val="18"/>
                <w:lang w:val="mk-MK"/>
              </w:rPr>
              <w:t>të kontrolluara</w:t>
            </w:r>
          </w:p>
        </w:tc>
      </w:tr>
    </w:tbl>
    <w:p w14:paraId="791B1802" w14:textId="77777777" w:rsidR="00355A6B" w:rsidRPr="00223692" w:rsidRDefault="009F2804" w:rsidP="009F2804">
      <w:pPr>
        <w:tabs>
          <w:tab w:val="left" w:pos="11250"/>
        </w:tabs>
        <w:spacing w:after="0"/>
        <w:ind w:left="-270"/>
        <w:rPr>
          <w:rFonts w:ascii="Arial" w:hAnsi="Arial" w:cs="Arial"/>
          <w:b/>
          <w:lang w:val="mk-MK"/>
        </w:rPr>
      </w:pPr>
      <w:r w:rsidRPr="00223692">
        <w:rPr>
          <w:rFonts w:ascii="Arial" w:hAnsi="Arial" w:cs="Arial"/>
          <w:b/>
          <w:lang w:val="mk-MK"/>
        </w:rPr>
        <w:t xml:space="preserve">  </w:t>
      </w:r>
    </w:p>
    <w:p w14:paraId="1F74F6FF" w14:textId="77777777" w:rsidR="009A0E0E" w:rsidRPr="00223692" w:rsidRDefault="00690B2C" w:rsidP="009F2804">
      <w:pPr>
        <w:tabs>
          <w:tab w:val="left" w:pos="11250"/>
        </w:tabs>
        <w:spacing w:after="0"/>
        <w:ind w:left="-270"/>
        <w:rPr>
          <w:rFonts w:ascii="Arial" w:hAnsi="Arial" w:cs="Arial"/>
          <w:i/>
          <w:lang w:val="mk-MK"/>
        </w:rPr>
      </w:pPr>
      <w:r>
        <w:rPr>
          <w:rFonts w:ascii="Arial" w:hAnsi="Arial" w:cs="Arial"/>
          <w:b/>
        </w:rPr>
        <w:t xml:space="preserve">    </w:t>
      </w:r>
    </w:p>
    <w:p w14:paraId="3B86A0ED" w14:textId="77777777" w:rsidR="00587241" w:rsidRDefault="009A0E0E" w:rsidP="00587241">
      <w:pPr>
        <w:spacing w:after="0" w:line="240" w:lineRule="auto"/>
        <w:ind w:right="852"/>
        <w:rPr>
          <w:rFonts w:ascii="Arial" w:hAnsi="Arial" w:cs="Arial"/>
          <w:b/>
          <w:noProof/>
          <w:lang w:val="sq-AL"/>
        </w:rPr>
      </w:pPr>
      <w:r w:rsidRPr="00223692">
        <w:rPr>
          <w:rFonts w:ascii="Arial" w:hAnsi="Arial" w:cs="Arial"/>
          <w:b/>
        </w:rPr>
        <w:t xml:space="preserve">                                                                                                                                           </w:t>
      </w:r>
      <w:r w:rsidRPr="00223692">
        <w:rPr>
          <w:rFonts w:ascii="Arial" w:hAnsi="Arial" w:cs="Arial"/>
          <w:b/>
          <w:lang w:val="mk-MK"/>
        </w:rPr>
        <w:t xml:space="preserve"> </w:t>
      </w:r>
      <w:r w:rsidRPr="00223692">
        <w:rPr>
          <w:rFonts w:ascii="Arial" w:hAnsi="Arial" w:cs="Arial"/>
          <w:b/>
          <w:noProof/>
          <w:lang w:val="mk-MK"/>
        </w:rPr>
        <w:t xml:space="preserve">Agjencia </w:t>
      </w:r>
      <w:r w:rsidR="00587241">
        <w:rPr>
          <w:rFonts w:ascii="Arial" w:hAnsi="Arial" w:cs="Arial"/>
          <w:b/>
          <w:noProof/>
          <w:lang w:val="sq-AL"/>
        </w:rPr>
        <w:t xml:space="preserve">për Shërbime  Mediatike </w:t>
      </w:r>
    </w:p>
    <w:p w14:paraId="6BF96055" w14:textId="3A781F4A" w:rsidR="00587241" w:rsidRDefault="00587241" w:rsidP="00587241">
      <w:pPr>
        <w:spacing w:after="0" w:line="240" w:lineRule="auto"/>
        <w:ind w:right="852"/>
        <w:rPr>
          <w:rFonts w:ascii="Arial" w:hAnsi="Arial" w:cs="Arial"/>
          <w:b/>
          <w:noProof/>
          <w:lang w:val="en-US"/>
        </w:rPr>
      </w:pPr>
      <w:r>
        <w:rPr>
          <w:rFonts w:ascii="Arial" w:hAnsi="Arial" w:cs="Arial"/>
          <w:b/>
          <w:noProof/>
          <w:lang w:val="sq-AL"/>
        </w:rPr>
        <w:t xml:space="preserve">                                                                                                                                                    </w:t>
      </w:r>
      <w:r w:rsidR="009A0E0E" w:rsidRPr="00223692">
        <w:rPr>
          <w:rFonts w:ascii="Arial" w:hAnsi="Arial" w:cs="Arial"/>
          <w:b/>
          <w:noProof/>
          <w:lang w:val="mk-MK"/>
        </w:rPr>
        <w:t>Audio</w:t>
      </w:r>
      <w:r>
        <w:rPr>
          <w:rFonts w:ascii="Arial" w:hAnsi="Arial" w:cs="Arial"/>
          <w:b/>
          <w:noProof/>
          <w:lang w:val="en-US"/>
        </w:rPr>
        <w:t xml:space="preserve"> </w:t>
      </w:r>
      <w:r>
        <w:rPr>
          <w:rFonts w:ascii="Arial" w:hAnsi="Arial" w:cs="Arial"/>
          <w:b/>
          <w:lang w:val="sq-AL"/>
        </w:rPr>
        <w:t>d</w:t>
      </w:r>
      <w:r>
        <w:rPr>
          <w:rFonts w:ascii="Arial" w:hAnsi="Arial" w:cs="Arial"/>
          <w:b/>
          <w:lang w:val="mk-MK"/>
        </w:rPr>
        <w:t>he</w:t>
      </w:r>
      <w:r>
        <w:rPr>
          <w:rFonts w:ascii="Arial" w:hAnsi="Arial" w:cs="Arial"/>
          <w:b/>
          <w:lang w:val="sq-AL"/>
        </w:rPr>
        <w:t xml:space="preserve"> Audiovizuele</w:t>
      </w:r>
    </w:p>
    <w:p w14:paraId="21C511F3" w14:textId="0265E678" w:rsidR="009A0E0E" w:rsidRPr="00223692" w:rsidRDefault="00587241" w:rsidP="00587241">
      <w:pPr>
        <w:spacing w:after="0" w:line="240" w:lineRule="auto"/>
        <w:ind w:right="852"/>
        <w:rPr>
          <w:rFonts w:ascii="Arial" w:hAnsi="Arial" w:cs="Arial"/>
          <w:b/>
          <w:lang w:val="mk-MK"/>
        </w:rPr>
      </w:pPr>
      <w:r>
        <w:rPr>
          <w:rFonts w:ascii="Arial" w:hAnsi="Arial" w:cs="Arial"/>
          <w:b/>
          <w:lang w:val="sq-AL"/>
        </w:rPr>
        <w:t xml:space="preserve">                                                                                                                        </w:t>
      </w:r>
    </w:p>
    <w:p w14:paraId="204E686D" w14:textId="4E2E6CB7" w:rsidR="00B421AC" w:rsidRDefault="009A0E0E" w:rsidP="009A0E0E">
      <w:pPr>
        <w:spacing w:after="0" w:line="240" w:lineRule="auto"/>
        <w:ind w:right="-284"/>
        <w:jc w:val="both"/>
        <w:rPr>
          <w:rFonts w:ascii="Arial" w:hAnsi="Arial" w:cs="Arial"/>
          <w:b/>
          <w:noProof/>
          <w:lang w:val="mk-MK"/>
        </w:rPr>
      </w:pPr>
      <w:r w:rsidRPr="00223692">
        <w:rPr>
          <w:rFonts w:ascii="Arial" w:hAnsi="Arial" w:cs="Arial"/>
          <w:lang w:val="mk-MK"/>
        </w:rPr>
        <w:t xml:space="preserve">                                                                                                                        </w:t>
      </w:r>
      <w:r w:rsidRPr="00223692">
        <w:rPr>
          <w:rFonts w:ascii="Arial" w:hAnsi="Arial" w:cs="Arial"/>
          <w:b/>
          <w:lang w:val="mk-MK"/>
        </w:rPr>
        <w:tab/>
      </w:r>
      <w:r w:rsidRPr="00223692">
        <w:rPr>
          <w:rFonts w:ascii="Arial" w:hAnsi="Arial" w:cs="Arial"/>
          <w:b/>
          <w:lang w:val="mk-MK"/>
        </w:rPr>
        <w:tab/>
      </w:r>
      <w:r w:rsidRPr="00223692">
        <w:rPr>
          <w:rFonts w:ascii="Arial" w:hAnsi="Arial" w:cs="Arial"/>
          <w:b/>
          <w:lang w:val="mk-MK"/>
        </w:rPr>
        <w:tab/>
      </w:r>
      <w:r w:rsidR="0020267E">
        <w:rPr>
          <w:rFonts w:ascii="Arial" w:hAnsi="Arial" w:cs="Arial"/>
          <w:b/>
          <w:lang w:val="mk-MK"/>
        </w:rPr>
        <w:t xml:space="preserve">         </w:t>
      </w:r>
      <w:r w:rsidRPr="00223692">
        <w:rPr>
          <w:rFonts w:ascii="Arial" w:hAnsi="Arial" w:cs="Arial"/>
          <w:b/>
          <w:noProof/>
          <w:lang w:val="mk-MK"/>
        </w:rPr>
        <w:t>Drejtori,</w:t>
      </w:r>
    </w:p>
    <w:p w14:paraId="7B08EC92" w14:textId="77777777" w:rsidR="0020267E" w:rsidRPr="00223692" w:rsidRDefault="0020267E" w:rsidP="009A0E0E">
      <w:pPr>
        <w:spacing w:after="0" w:line="240" w:lineRule="auto"/>
        <w:ind w:right="-284"/>
        <w:jc w:val="both"/>
        <w:rPr>
          <w:rFonts w:ascii="Arial" w:hAnsi="Arial" w:cs="Arial"/>
          <w:b/>
          <w:noProof/>
          <w:lang w:val="mk-MK"/>
        </w:rPr>
      </w:pPr>
    </w:p>
    <w:p w14:paraId="2068881D" w14:textId="77777777" w:rsidR="009A0E0E" w:rsidRPr="00223692" w:rsidRDefault="009A0E0E" w:rsidP="009A0E0E">
      <w:pPr>
        <w:spacing w:after="0" w:line="240" w:lineRule="auto"/>
        <w:ind w:left="8295" w:right="-284"/>
        <w:rPr>
          <w:rFonts w:ascii="Arial" w:hAnsi="Arial" w:cs="Arial"/>
          <w:b/>
          <w:noProof/>
        </w:rPr>
      </w:pPr>
      <w:r w:rsidRPr="00223692">
        <w:rPr>
          <w:rFonts w:ascii="Arial" w:hAnsi="Arial" w:cs="Arial"/>
          <w:b/>
          <w:noProof/>
          <w:lang w:val="mk-MK"/>
        </w:rPr>
        <w:t xml:space="preserve">     </w:t>
      </w:r>
      <w:r w:rsidRPr="00223692">
        <w:rPr>
          <w:rFonts w:ascii="Arial" w:hAnsi="Arial" w:cs="Arial"/>
          <w:b/>
          <w:noProof/>
        </w:rPr>
        <w:t xml:space="preserve">          </w:t>
      </w:r>
      <w:r w:rsidRPr="00223692">
        <w:rPr>
          <w:rFonts w:ascii="Arial" w:hAnsi="Arial" w:cs="Arial"/>
          <w:b/>
          <w:noProof/>
          <w:lang w:val="mk-MK"/>
        </w:rPr>
        <w:t>____________________</w:t>
      </w:r>
      <w:r w:rsidRPr="00223692">
        <w:rPr>
          <w:rFonts w:ascii="Arial" w:hAnsi="Arial" w:cs="Arial"/>
          <w:b/>
          <w:noProof/>
        </w:rPr>
        <w:t xml:space="preserve">      </w:t>
      </w:r>
    </w:p>
    <w:p w14:paraId="653A89BD" w14:textId="44B968DE" w:rsidR="00355A6B" w:rsidRPr="00223692" w:rsidRDefault="00355A6B" w:rsidP="00355A6B">
      <w:pPr>
        <w:spacing w:after="0" w:line="240" w:lineRule="auto"/>
        <w:ind w:right="-284"/>
        <w:jc w:val="both"/>
        <w:rPr>
          <w:rFonts w:ascii="Arial" w:hAnsi="Arial" w:cs="Arial"/>
          <w:b/>
          <w:sz w:val="16"/>
          <w:lang w:val="mk-MK"/>
        </w:rPr>
      </w:pPr>
      <w:r w:rsidRPr="00223692">
        <w:rPr>
          <w:rFonts w:ascii="Arial" w:hAnsi="Arial" w:cs="Arial"/>
          <w:b/>
          <w:sz w:val="16"/>
          <w:lang w:val="mk-MK"/>
        </w:rPr>
        <w:tab/>
        <w:t xml:space="preserve">                                                                                                                                                                                              </w:t>
      </w:r>
      <w:r w:rsidR="00587241">
        <w:rPr>
          <w:rFonts w:ascii="Arial" w:hAnsi="Arial" w:cs="Arial"/>
          <w:b/>
          <w:sz w:val="16"/>
          <w:lang w:val="sq-AL"/>
        </w:rPr>
        <w:t xml:space="preserve"> </w:t>
      </w:r>
      <w:r w:rsidRPr="00223692">
        <w:rPr>
          <w:rFonts w:ascii="Arial" w:hAnsi="Arial" w:cs="Arial"/>
          <w:b/>
          <w:noProof/>
          <w:lang w:val="mk-MK"/>
        </w:rPr>
        <w:t>Dr. Zoran TRAJÇEVSKI</w:t>
      </w:r>
    </w:p>
    <w:p w14:paraId="11C30343" w14:textId="77777777" w:rsidR="00EC4042" w:rsidRDefault="00EC4042" w:rsidP="00355A6B">
      <w:pPr>
        <w:spacing w:after="0" w:line="240" w:lineRule="auto"/>
        <w:ind w:right="-284"/>
        <w:jc w:val="both"/>
        <w:rPr>
          <w:rFonts w:ascii="Arial" w:hAnsi="Arial" w:cs="Arial"/>
          <w:b/>
          <w:sz w:val="16"/>
          <w:lang w:val="mk-MK"/>
        </w:rPr>
      </w:pPr>
    </w:p>
    <w:p w14:paraId="0160CE87" w14:textId="77777777" w:rsidR="00EC4042" w:rsidRDefault="00EC4042" w:rsidP="00355A6B">
      <w:pPr>
        <w:spacing w:after="0" w:line="240" w:lineRule="auto"/>
        <w:ind w:right="-284"/>
        <w:jc w:val="both"/>
        <w:rPr>
          <w:rFonts w:ascii="Arial" w:hAnsi="Arial" w:cs="Arial"/>
          <w:b/>
          <w:sz w:val="16"/>
          <w:lang w:val="mk-MK"/>
        </w:rPr>
      </w:pPr>
    </w:p>
    <w:p w14:paraId="79DFB275" w14:textId="77777777" w:rsidR="00355A6B" w:rsidRPr="00223692" w:rsidRDefault="009F2804" w:rsidP="00355A6B">
      <w:pPr>
        <w:spacing w:after="0" w:line="240" w:lineRule="auto"/>
        <w:ind w:right="-284"/>
        <w:jc w:val="both"/>
        <w:rPr>
          <w:rFonts w:ascii="Arial" w:hAnsi="Arial" w:cs="Arial"/>
          <w:b/>
          <w:noProof/>
          <w:lang w:val="mk-MK"/>
        </w:rPr>
      </w:pPr>
      <w:r w:rsidRPr="00223692">
        <w:rPr>
          <w:rFonts w:ascii="Arial" w:hAnsi="Arial" w:cs="Arial"/>
          <w:b/>
          <w:sz w:val="16"/>
          <w:lang w:val="mk-MK"/>
        </w:rPr>
        <w:t>Dorëzuar në:</w:t>
      </w:r>
      <w:r w:rsidRPr="00223692">
        <w:rPr>
          <w:rFonts w:ascii="Arial" w:hAnsi="Arial" w:cs="Arial"/>
          <w:b/>
          <w:sz w:val="16"/>
          <w:lang w:val="mk-MK"/>
        </w:rPr>
        <w:tab/>
      </w:r>
      <w:r w:rsidRPr="00223692">
        <w:rPr>
          <w:rFonts w:ascii="Arial" w:hAnsi="Arial" w:cs="Arial"/>
          <w:b/>
          <w:noProof/>
        </w:rPr>
        <w:t xml:space="preserve">   </w:t>
      </w:r>
      <w:r w:rsidRPr="00223692">
        <w:rPr>
          <w:rFonts w:ascii="Arial" w:hAnsi="Arial" w:cs="Arial"/>
          <w:b/>
          <w:noProof/>
          <w:lang w:val="mk-MK"/>
        </w:rPr>
        <w:t xml:space="preserve">   </w:t>
      </w:r>
      <w:r w:rsidRPr="00223692">
        <w:rPr>
          <w:rFonts w:ascii="Arial" w:hAnsi="Arial" w:cs="Arial"/>
          <w:b/>
          <w:noProof/>
        </w:rPr>
        <w:t xml:space="preserve">             </w:t>
      </w:r>
      <w:r w:rsidRPr="00223692">
        <w:rPr>
          <w:rFonts w:ascii="Arial" w:hAnsi="Arial" w:cs="Arial"/>
          <w:b/>
          <w:noProof/>
          <w:lang w:val="mk-MK"/>
        </w:rPr>
        <w:t xml:space="preserve">                                                                                                                 </w:t>
      </w:r>
    </w:p>
    <w:p w14:paraId="15CE3329" w14:textId="77777777" w:rsidR="00355A6B" w:rsidRPr="00223692" w:rsidRDefault="00355A6B" w:rsidP="00355A6B">
      <w:pPr>
        <w:spacing w:after="0" w:line="240" w:lineRule="auto"/>
        <w:ind w:right="-284"/>
        <w:jc w:val="both"/>
        <w:rPr>
          <w:rFonts w:ascii="Arial" w:hAnsi="Arial" w:cs="Arial"/>
          <w:sz w:val="16"/>
          <w:lang w:val="mk-MK"/>
        </w:rPr>
      </w:pPr>
      <w:r w:rsidRPr="00223692">
        <w:rPr>
          <w:rFonts w:ascii="Arial" w:hAnsi="Arial" w:cs="Arial"/>
          <w:noProof/>
          <w:lang w:val="mk-MK"/>
        </w:rPr>
        <w:t xml:space="preserve">- </w:t>
      </w:r>
      <w:r w:rsidR="009F2804" w:rsidRPr="00223692">
        <w:rPr>
          <w:rFonts w:ascii="Arial" w:hAnsi="Arial" w:cs="Arial"/>
          <w:sz w:val="16"/>
          <w:lang w:val="mk-MK"/>
        </w:rPr>
        <w:t>Të gjitha njësitë organizative në kuadër të Agjencisë dhe</w:t>
      </w:r>
    </w:p>
    <w:p w14:paraId="228D6644" w14:textId="77777777" w:rsidR="009F677F" w:rsidRPr="00223692" w:rsidRDefault="00355A6B" w:rsidP="00355A6B">
      <w:pPr>
        <w:spacing w:after="0" w:line="240" w:lineRule="auto"/>
        <w:ind w:right="-284"/>
        <w:jc w:val="both"/>
        <w:rPr>
          <w:rFonts w:ascii="Arial" w:hAnsi="Arial" w:cs="Arial"/>
          <w:b/>
          <w:sz w:val="16"/>
          <w:lang w:val="mk-MK"/>
        </w:rPr>
      </w:pPr>
      <w:r w:rsidRPr="00223692">
        <w:rPr>
          <w:rFonts w:ascii="Arial" w:hAnsi="Arial" w:cs="Arial"/>
          <w:sz w:val="16"/>
          <w:lang w:val="mk-MK"/>
        </w:rPr>
        <w:t>- Sektori për Mbështetjen e Informacionit dhe Çështjet e Përgjithshme – Arkivat e Agjencisë</w:t>
      </w:r>
      <w:r w:rsidR="009F2804" w:rsidRPr="00223692">
        <w:rPr>
          <w:rFonts w:ascii="Arial" w:hAnsi="Arial" w:cs="Arial"/>
          <w:b/>
          <w:noProof/>
          <w:lang w:val="mk-MK"/>
        </w:rPr>
        <w:t xml:space="preserve">                            </w:t>
      </w:r>
    </w:p>
    <w:sectPr w:rsidR="009F677F" w:rsidRPr="00223692" w:rsidSect="003C7796">
      <w:pgSz w:w="15840" w:h="12240" w:orient="landscape"/>
      <w:pgMar w:top="90" w:right="63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BFC8F" w14:textId="77777777" w:rsidR="00144EE6" w:rsidRDefault="00144EE6" w:rsidP="003C7796">
      <w:pPr>
        <w:spacing w:after="0" w:line="240" w:lineRule="auto"/>
      </w:pPr>
      <w:r>
        <w:separator/>
      </w:r>
    </w:p>
  </w:endnote>
  <w:endnote w:type="continuationSeparator" w:id="0">
    <w:p w14:paraId="1910C648" w14:textId="77777777" w:rsidR="00144EE6" w:rsidRDefault="00144EE6" w:rsidP="003C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C C Swiss">
    <w:altName w:val="Aria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158C" w14:textId="77777777" w:rsidR="0003328B" w:rsidRDefault="0003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1DE6" w14:textId="77777777" w:rsidR="00660C61" w:rsidRPr="003B3662" w:rsidRDefault="00660C61" w:rsidP="00660C61">
    <w:pPr>
      <w:pStyle w:val="Footer"/>
      <w:tabs>
        <w:tab w:val="clear" w:pos="4680"/>
        <w:tab w:val="clear" w:pos="9360"/>
      </w:tabs>
      <w:jc w:val="right"/>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73638">
      <w:rPr>
        <w:caps/>
        <w:noProof/>
        <w:color w:val="4472C4" w:themeColor="accent1"/>
      </w:rPr>
      <w:t>1</w:t>
    </w:r>
    <w:r w:rsidR="00C73638">
      <w:rPr>
        <w:caps/>
        <w:noProof/>
        <w:color w:val="4472C4" w:themeColor="accent1"/>
      </w:rPr>
      <w:t>3</w:t>
    </w:r>
    <w:r>
      <w:rPr>
        <w:caps/>
        <w:noProof/>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DDD1" w14:textId="77777777" w:rsidR="00660C61" w:rsidRPr="009A248E" w:rsidRDefault="00660C61" w:rsidP="00660C61">
    <w:pPr>
      <w:pStyle w:val="Footer"/>
      <w:tabs>
        <w:tab w:val="clear" w:pos="4680"/>
        <w:tab w:val="clear" w:pos="9360"/>
      </w:tabs>
      <w:jc w:val="right"/>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34FDD" w14:textId="77777777" w:rsidR="00144EE6" w:rsidRDefault="00144EE6" w:rsidP="003C7796">
      <w:pPr>
        <w:spacing w:after="0" w:line="240" w:lineRule="auto"/>
      </w:pPr>
      <w:r>
        <w:separator/>
      </w:r>
    </w:p>
  </w:footnote>
  <w:footnote w:type="continuationSeparator" w:id="0">
    <w:p w14:paraId="77B89F36" w14:textId="77777777" w:rsidR="00144EE6" w:rsidRDefault="00144EE6" w:rsidP="003C7796">
      <w:pPr>
        <w:spacing w:after="0" w:line="240" w:lineRule="auto"/>
      </w:pPr>
      <w:r>
        <w:continuationSeparator/>
      </w:r>
    </w:p>
  </w:footnote>
  <w:footnote w:id="1">
    <w:p w14:paraId="542AD0F4" w14:textId="77777777" w:rsidR="00027C25" w:rsidRPr="00027C25" w:rsidRDefault="00027C25" w:rsidP="00027C25">
      <w:pPr>
        <w:pStyle w:val="FootnoteText"/>
        <w:jc w:val="both"/>
        <w:rPr>
          <w:rFonts w:ascii="Arial" w:hAnsi="Arial" w:cs="Arial"/>
          <w:lang w:val="mk-MK"/>
        </w:rPr>
      </w:pPr>
      <w:r w:rsidRPr="00027C25">
        <w:rPr>
          <w:rStyle w:val="FootnoteReference"/>
          <w:rFonts w:ascii="Arial" w:hAnsi="Arial" w:cs="Arial"/>
        </w:rPr>
        <w:footnoteRef/>
      </w:r>
      <w:r w:rsidRPr="00027C25">
        <w:rPr>
          <w:rFonts w:ascii="Arial" w:hAnsi="Arial" w:cs="Arial"/>
        </w:rPr>
        <w:t>GPPRK në Agjencia për vitin 2022 (ark. nr. 03-3083/1 dt. 09.08.2022), GPPRK e Agjencia për vitin 2023 (ark. nr. 03-4725/1 datë 22.12.2022) dhe Kodit të Procedurës së Përgjithshme Administrative të Agjencia për vitin 2024 (ark. nr. 03-4730/1 datë 22.12.2023).</w:t>
      </w:r>
    </w:p>
  </w:footnote>
  <w:footnote w:id="2">
    <w:p w14:paraId="099EFF6E" w14:textId="77777777" w:rsidR="00660C61" w:rsidRPr="006D0C1C" w:rsidRDefault="00660C61" w:rsidP="00F319D6">
      <w:pPr>
        <w:pStyle w:val="FootnoteText"/>
        <w:jc w:val="both"/>
        <w:rPr>
          <w:rFonts w:ascii="Arial" w:hAnsi="Arial" w:cs="Arial"/>
          <w:sz w:val="18"/>
          <w:szCs w:val="18"/>
          <w:lang w:val="mk-MK"/>
        </w:rPr>
      </w:pPr>
      <w:r w:rsidRPr="008955E5">
        <w:rPr>
          <w:rStyle w:val="FootnoteReference"/>
          <w:rFonts w:ascii="Arial" w:hAnsi="Arial" w:cs="Arial"/>
        </w:rPr>
        <w:footnoteRef/>
      </w:r>
      <w:r w:rsidRPr="001F2324">
        <w:rPr>
          <w:color w:val="70AD47" w:themeColor="accent6"/>
        </w:rPr>
        <w:t xml:space="preserve"> </w:t>
      </w:r>
      <w:r w:rsidRPr="006D0C1C">
        <w:rPr>
          <w:rFonts w:ascii="Arial" w:hAnsi="Arial" w:cs="Arial"/>
          <w:sz w:val="18"/>
          <w:szCs w:val="18"/>
          <w:lang w:val="mk-MK"/>
        </w:rPr>
        <w:t>Emri i secilit trajnim të kryer/të kryer, periudha e zbatimit të trajnimit, organizatori i trajnimit dhe konfirmimi/raporti për trajnimin e kryer me sukses janë të shënuara në Raportin Vjetor të Trajnimeve për vitin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073AD" w14:textId="77777777" w:rsidR="0003328B" w:rsidRDefault="00033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2925D" w14:textId="77777777" w:rsidR="00660C61" w:rsidRDefault="00660C61">
    <w:pPr>
      <w:pStyle w:val="Header"/>
    </w:pPr>
    <w:r w:rsidRPr="002A6345">
      <w:rPr>
        <w:rFonts w:ascii="Arial Narrow" w:hAnsi="Arial Narrow"/>
        <w:noProof/>
        <w:sz w:val="20"/>
        <w:szCs w:val="20"/>
      </w:rPr>
      <mc:AlternateContent>
        <mc:Choice Requires="wps">
          <w:drawing>
            <wp:anchor distT="0" distB="0" distL="118745" distR="118745" simplePos="0" relativeHeight="251660288" behindDoc="1" locked="0" layoutInCell="1" allowOverlap="0" wp14:anchorId="444084D2" wp14:editId="7A343FD5">
              <wp:simplePos x="0" y="0"/>
              <wp:positionH relativeFrom="page">
                <wp:align>left</wp:align>
              </wp:positionH>
              <wp:positionV relativeFrom="page">
                <wp:posOffset>12700</wp:posOffset>
              </wp:positionV>
              <wp:extent cx="10045700" cy="1130300"/>
              <wp:effectExtent l="0" t="0" r="0" b="0"/>
              <wp:wrapSquare wrapText="bothSides"/>
              <wp:docPr id="6" name="Rectangle 6"/>
              <wp:cNvGraphicFramePr/>
              <a:graphic xmlns:a="http://schemas.openxmlformats.org/drawingml/2006/main">
                <a:graphicData uri="http://schemas.microsoft.com/office/word/2010/wordprocessingShape">
                  <wps:wsp>
                    <wps:cNvSpPr/>
                    <wps:spPr>
                      <a:xfrm>
                        <a:off x="0" y="0"/>
                        <a:ext cx="10045700" cy="11303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80533B" w14:textId="77777777" w:rsidR="00660C61" w:rsidRDefault="00660C61" w:rsidP="00660C61">
                          <w:pPr>
                            <w:pStyle w:val="Header"/>
                            <w:tabs>
                              <w:tab w:val="clear" w:pos="4680"/>
                              <w:tab w:val="clear" w:pos="9360"/>
                            </w:tabs>
                            <w:rPr>
                              <w:rFonts w:ascii="Arial Narrow" w:hAnsi="Arial Narrow"/>
                              <w:noProof/>
                              <w:sz w:val="28"/>
                              <w:szCs w:val="28"/>
                              <w:lang w:val="mk-MK"/>
                            </w:rPr>
                          </w:pPr>
                        </w:p>
                        <w:p w14:paraId="4B05E562" w14:textId="47993C76" w:rsidR="00660C61" w:rsidRPr="00A2681D" w:rsidRDefault="00660C61" w:rsidP="00660C61">
                          <w:pPr>
                            <w:pStyle w:val="Header"/>
                            <w:tabs>
                              <w:tab w:val="clear" w:pos="4680"/>
                              <w:tab w:val="clear" w:pos="9360"/>
                            </w:tabs>
                            <w:rPr>
                              <w:rFonts w:ascii="Arial Narrow" w:hAnsi="Arial Narrow"/>
                              <w:noProof/>
                              <w:sz w:val="28"/>
                              <w:szCs w:val="28"/>
                              <w:lang w:val="mk-MK"/>
                            </w:rPr>
                          </w:pPr>
                          <w:r>
                            <w:rPr>
                              <w:rFonts w:ascii="Arial Narrow" w:hAnsi="Arial Narrow"/>
                              <w:noProof/>
                              <w:sz w:val="28"/>
                              <w:szCs w:val="28"/>
                            </w:rPr>
                            <w:t xml:space="preserve">     </w:t>
                          </w:r>
                          <w:r>
                            <w:rPr>
                              <w:noProof/>
                            </w:rPr>
                            <w:drawing>
                              <wp:inline distT="0" distB="0" distL="0" distR="0" wp14:anchorId="3C5342CC" wp14:editId="61365277">
                                <wp:extent cx="1149350" cy="374650"/>
                                <wp:effectExtent l="0" t="0" r="0" b="6350"/>
                                <wp:docPr id="687904518" name="Picture 687904518" descr="C:\Users\D.premceski\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premceski\AppData\Local\Microsoft\Windows\INetCache\Content.Wor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374650"/>
                                        </a:xfrm>
                                        <a:prstGeom prst="rect">
                                          <a:avLst/>
                                        </a:prstGeom>
                                        <a:noFill/>
                                        <a:ln>
                                          <a:noFill/>
                                        </a:ln>
                                      </pic:spPr>
                                    </pic:pic>
                                  </a:graphicData>
                                </a:graphic>
                              </wp:inline>
                            </w:drawing>
                          </w:r>
                          <w:r w:rsidR="002E6352" w:rsidRPr="00A2681D">
                            <w:rPr>
                              <w:rFonts w:ascii="Arial Narrow" w:hAnsi="Arial Narrow"/>
                              <w:noProof/>
                              <w:sz w:val="28"/>
                              <w:szCs w:val="28"/>
                              <w:lang w:val="mk-MK"/>
                            </w:rPr>
                            <w:t xml:space="preserve"> </w:t>
                          </w:r>
                          <w:r w:rsidR="0003328B">
                            <w:rPr>
                              <w:rFonts w:ascii="Arial Narrow" w:hAnsi="Arial Narrow"/>
                              <w:noProof/>
                              <w:sz w:val="28"/>
                              <w:szCs w:val="28"/>
                              <w:lang w:val="sq-AL"/>
                            </w:rPr>
                            <w:t>Plani vjetor për vlerësimin e rreziqeve nga korupsioni të Agjencisë për vitin 2025</w:t>
                          </w:r>
                        </w:p>
                        <w:p w14:paraId="3C3DD09F" w14:textId="77777777" w:rsidR="00660C61" w:rsidRDefault="00660C61" w:rsidP="00660C61">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44084D2" id="Rectangle 6" o:spid="_x0000_s1026" style="position:absolute;margin-left:0;margin-top:1pt;width:791pt;height:89pt;z-index:-251656192;visibility:visible;mso-wrap-style:square;mso-width-percent:0;mso-height-percent:0;mso-wrap-distance-left:9.35pt;mso-wrap-distance-top:0;mso-wrap-distance-right:9.35pt;mso-wrap-distance-bottom:0;mso-position-horizontal:left;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" o:allowoverlap="f" fillcolor="#4472c4 [3204]" stroked="f" strokeweight="1pt">
              <v:textbox>
                <w:txbxContent>
                  <w:p w14:paraId="7980533B" w14:textId="77777777" w:rsidR="00660C61" w:rsidRDefault="00660C61" w:rsidP="00660C61">
                    <w:pPr>
                      <w:pStyle w:val="Header"/>
                      <w:tabs>
                        <w:tab w:val="clear" w:pos="4680"/>
                        <w:tab w:val="clear" w:pos="9360"/>
                      </w:tabs>
                      <w:rPr>
                        <w:rFonts w:ascii="Arial Narrow" w:hAnsi="Arial Narrow"/>
                        <w:noProof/>
                        <w:sz w:val="28"/>
                        <w:szCs w:val="28"/>
                        <w:lang w:val="mk-MK"/>
                      </w:rPr>
                    </w:pPr>
                  </w:p>
                  <w:p w14:paraId="4B05E562" w14:textId="47993C76" w:rsidR="00660C61" w:rsidRPr="00A2681D" w:rsidRDefault="00660C61" w:rsidP="00660C61">
                    <w:pPr>
                      <w:pStyle w:val="Header"/>
                      <w:tabs>
                        <w:tab w:val="clear" w:pos="4680"/>
                        <w:tab w:val="clear" w:pos="9360"/>
                      </w:tabs>
                      <w:rPr>
                        <w:rFonts w:ascii="Arial Narrow" w:hAnsi="Arial Narrow"/>
                        <w:noProof/>
                        <w:sz w:val="28"/>
                        <w:szCs w:val="28"/>
                        <w:lang w:val="mk-MK"/>
                      </w:rPr>
                    </w:pPr>
                    <w:r>
                      <w:rPr>
                        <w:rFonts w:ascii="Arial Narrow" w:hAnsi="Arial Narrow"/>
                        <w:noProof/>
                        <w:sz w:val="28"/>
                        <w:szCs w:val="28"/>
                      </w:rPr>
                      <w:t xml:space="preserve">     </w:t>
                    </w:r>
                    <w:r>
                      <w:rPr>
                        <w:noProof/>
                      </w:rPr>
                      <w:drawing>
                        <wp:inline distT="0" distB="0" distL="0" distR="0" wp14:anchorId="3C5342CC" wp14:editId="61365277">
                          <wp:extent cx="1149350" cy="374650"/>
                          <wp:effectExtent l="0" t="0" r="0" b="6350"/>
                          <wp:docPr id="687904518" name="Picture 687904518" descr="C:\Users\D.premceski\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premceski\AppData\Local\Microsoft\Windows\INetCache\Content.Wor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374650"/>
                                  </a:xfrm>
                                  <a:prstGeom prst="rect">
                                    <a:avLst/>
                                  </a:prstGeom>
                                  <a:noFill/>
                                  <a:ln>
                                    <a:noFill/>
                                  </a:ln>
                                </pic:spPr>
                              </pic:pic>
                            </a:graphicData>
                          </a:graphic>
                        </wp:inline>
                      </w:drawing>
                    </w:r>
                    <w:r w:rsidR="002E6352" w:rsidRPr="00A2681D">
                      <w:rPr>
                        <w:rFonts w:ascii="Arial Narrow" w:hAnsi="Arial Narrow"/>
                        <w:noProof/>
                        <w:sz w:val="28"/>
                        <w:szCs w:val="28"/>
                        <w:lang w:val="mk-MK"/>
                      </w:rPr>
                      <w:t xml:space="preserve"> </w:t>
                    </w:r>
                    <w:r w:rsidR="0003328B">
                      <w:rPr>
                        <w:rFonts w:ascii="Arial Narrow" w:hAnsi="Arial Narrow"/>
                        <w:noProof/>
                        <w:sz w:val="28"/>
                        <w:szCs w:val="28"/>
                        <w:lang w:val="sq-AL"/>
                      </w:rPr>
                      <w:t>Plani vjetor për vlerësimin e rreziqeve nga korupsioni të Agjencisë për vitin 2025</w:t>
                    </w:r>
                  </w:p>
                  <w:p w14:paraId="3C3DD09F" w14:textId="77777777" w:rsidR="00660C61" w:rsidRDefault="00660C61" w:rsidP="00660C61">
                    <w:pPr>
                      <w:pStyle w:val="Header"/>
                      <w:tabs>
                        <w:tab w:val="clear" w:pos="4680"/>
                        <w:tab w:val="clear" w:pos="9360"/>
                      </w:tabs>
                      <w:jc w:val="center"/>
                      <w:rPr>
                        <w:caps/>
                        <w:color w:val="FFFFFF" w:themeColor="background1"/>
                      </w:rPr>
                    </w:pPr>
                  </w:p>
                </w:txbxContent>
              </v:textbox>
              <w10:wrap type="square"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80CF" w14:textId="77777777" w:rsidR="00660C61" w:rsidRPr="002A6345" w:rsidRDefault="00660C61" w:rsidP="00660C61">
    <w:pPr>
      <w:pStyle w:val="Header"/>
      <w:jc w:val="center"/>
      <w:rPr>
        <w:rFonts w:ascii="Arial Narrow" w:hAnsi="Arial Narrow"/>
        <w:sz w:val="20"/>
        <w:szCs w:val="20"/>
      </w:rPr>
    </w:pPr>
    <w:r w:rsidRPr="002A6345">
      <w:rPr>
        <w:rFonts w:ascii="Arial Narrow" w:hAnsi="Arial Narrow"/>
        <w:noProof/>
        <w:sz w:val="20"/>
        <w:szCs w:val="20"/>
      </w:rPr>
      <mc:AlternateContent>
        <mc:Choice Requires="wps">
          <w:drawing>
            <wp:anchor distT="0" distB="0" distL="118745" distR="118745" simplePos="0" relativeHeight="251659264" behindDoc="1" locked="0" layoutInCell="1" allowOverlap="0" wp14:anchorId="4181BC86" wp14:editId="292A3B1F">
              <wp:simplePos x="0" y="0"/>
              <wp:positionH relativeFrom="page">
                <wp:posOffset>-171450</wp:posOffset>
              </wp:positionH>
              <wp:positionV relativeFrom="page">
                <wp:posOffset>0</wp:posOffset>
              </wp:positionV>
              <wp:extent cx="8001000" cy="1123950"/>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8001000" cy="11239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ACC3D" w14:textId="77777777" w:rsidR="00660C61" w:rsidRDefault="00660C61" w:rsidP="00660C61">
                          <w:pPr>
                            <w:pStyle w:val="Header"/>
                            <w:tabs>
                              <w:tab w:val="clear" w:pos="4680"/>
                              <w:tab w:val="clear" w:pos="9360"/>
                            </w:tabs>
                            <w:jc w:val="center"/>
                            <w:rPr>
                              <w:rFonts w:ascii="Arial Narrow" w:hAnsi="Arial Narrow"/>
                              <w:noProof/>
                              <w:sz w:val="28"/>
                              <w:szCs w:val="28"/>
                              <w:lang w:val="mk-MK"/>
                            </w:rPr>
                          </w:pPr>
                        </w:p>
                        <w:p w14:paraId="0469E3D4" w14:textId="77777777" w:rsidR="00660C61" w:rsidRDefault="00660C61" w:rsidP="00660C61">
                          <w:pPr>
                            <w:pStyle w:val="Header"/>
                            <w:tabs>
                              <w:tab w:val="clear" w:pos="4680"/>
                              <w:tab w:val="clear" w:pos="9360"/>
                            </w:tabs>
                            <w:jc w:val="center"/>
                            <w:rPr>
                              <w:rFonts w:ascii="Arial Narrow" w:hAnsi="Arial Narrow"/>
                              <w:noProof/>
                              <w:sz w:val="28"/>
                              <w:szCs w:val="28"/>
                              <w:lang w:val="mk-MK"/>
                            </w:rPr>
                          </w:pPr>
                        </w:p>
                        <w:p w14:paraId="6D56012C" w14:textId="36C4BB7D" w:rsidR="00660C61" w:rsidRDefault="00660C61" w:rsidP="00660C61">
                          <w:pPr>
                            <w:pStyle w:val="Header"/>
                            <w:tabs>
                              <w:tab w:val="clear" w:pos="4680"/>
                              <w:tab w:val="clear" w:pos="9360"/>
                            </w:tabs>
                            <w:rPr>
                              <w:rFonts w:ascii="Arial Narrow" w:hAnsi="Arial Narrow"/>
                              <w:noProof/>
                              <w:sz w:val="28"/>
                              <w:szCs w:val="28"/>
                              <w:lang w:val="mk-MK"/>
                            </w:rPr>
                          </w:pPr>
                          <w:r>
                            <w:rPr>
                              <w:rFonts w:ascii="Arial Narrow" w:hAnsi="Arial Narrow"/>
                              <w:noProof/>
                              <w:sz w:val="28"/>
                              <w:szCs w:val="28"/>
                            </w:rPr>
                            <w:t xml:space="preserve">          </w:t>
                          </w:r>
                          <w:r>
                            <w:rPr>
                              <w:noProof/>
                            </w:rPr>
                            <w:drawing>
                              <wp:inline distT="0" distB="0" distL="0" distR="0" wp14:anchorId="7C068E92" wp14:editId="22987419">
                                <wp:extent cx="800100" cy="374650"/>
                                <wp:effectExtent l="0" t="0" r="0" b="6350"/>
                                <wp:docPr id="150075795" name="Picture 150075795" descr="C:\Users\D.premceski\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premceski\AppData\Local\Microsoft\Windows\INetCache\Content.Wor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74650"/>
                                        </a:xfrm>
                                        <a:prstGeom prst="rect">
                                          <a:avLst/>
                                        </a:prstGeom>
                                        <a:noFill/>
                                        <a:ln>
                                          <a:noFill/>
                                        </a:ln>
                                      </pic:spPr>
                                    </pic:pic>
                                  </a:graphicData>
                                </a:graphic>
                              </wp:inline>
                            </w:drawing>
                          </w:r>
                          <w:r>
                            <w:rPr>
                              <w:rFonts w:ascii="Arial Narrow" w:hAnsi="Arial Narrow"/>
                              <w:noProof/>
                              <w:sz w:val="28"/>
                              <w:szCs w:val="28"/>
                              <w:lang w:val="mk-MK"/>
                            </w:rPr>
                            <w:t xml:space="preserve"> </w:t>
                          </w:r>
                          <w:r w:rsidR="005B7AEA">
                            <w:rPr>
                              <w:rFonts w:ascii="Arial Narrow" w:hAnsi="Arial Narrow"/>
                              <w:noProof/>
                              <w:sz w:val="28"/>
                              <w:szCs w:val="28"/>
                              <w:lang w:val="sq-AL"/>
                            </w:rPr>
                            <w:t>Plani vjetor për vlerësimin e rreziqeve nga korupsioni të Agjencisë për vitin 2025</w:t>
                          </w:r>
                        </w:p>
                        <w:p w14:paraId="1777E7ED" w14:textId="77777777" w:rsidR="00660C61" w:rsidRPr="00A2681D" w:rsidRDefault="00660C61" w:rsidP="00660C61">
                          <w:pPr>
                            <w:pStyle w:val="Header"/>
                            <w:tabs>
                              <w:tab w:val="clear" w:pos="4680"/>
                              <w:tab w:val="clear" w:pos="9360"/>
                            </w:tabs>
                            <w:jc w:val="center"/>
                            <w:rPr>
                              <w:rFonts w:ascii="Arial Narrow" w:hAnsi="Arial Narrow"/>
                              <w:noProof/>
                              <w:sz w:val="28"/>
                              <w:szCs w:val="28"/>
                              <w:lang w:val="mk-MK"/>
                            </w:rPr>
                          </w:pPr>
                        </w:p>
                        <w:p w14:paraId="6E093B26" w14:textId="77777777" w:rsidR="00660C61" w:rsidRDefault="00660C61" w:rsidP="00660C61">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81BC86" id="Rectangle 1" o:spid="_x0000_s1027" style="position:absolute;left:0;text-align:left;margin-left:-13.5pt;margin-top:0;width:630pt;height:88.5pt;z-index:-251657216;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" o:allowoverlap="f" fillcolor="#4472c4 [3204]" stroked="f" strokeweight="1pt">
              <v:textbox>
                <w:txbxContent>
                  <w:p w14:paraId="05AACC3D" w14:textId="77777777" w:rsidR="00660C61" w:rsidRDefault="00660C61" w:rsidP="00660C61">
                    <w:pPr>
                      <w:pStyle w:val="Header"/>
                      <w:tabs>
                        <w:tab w:val="clear" w:pos="4680"/>
                        <w:tab w:val="clear" w:pos="9360"/>
                      </w:tabs>
                      <w:jc w:val="center"/>
                      <w:rPr>
                        <w:rFonts w:ascii="Arial Narrow" w:hAnsi="Arial Narrow"/>
                        <w:noProof/>
                        <w:sz w:val="28"/>
                        <w:szCs w:val="28"/>
                        <w:lang w:val="mk-MK"/>
                      </w:rPr>
                    </w:pPr>
                  </w:p>
                  <w:p w14:paraId="0469E3D4" w14:textId="77777777" w:rsidR="00660C61" w:rsidRDefault="00660C61" w:rsidP="00660C61">
                    <w:pPr>
                      <w:pStyle w:val="Header"/>
                      <w:tabs>
                        <w:tab w:val="clear" w:pos="4680"/>
                        <w:tab w:val="clear" w:pos="9360"/>
                      </w:tabs>
                      <w:jc w:val="center"/>
                      <w:rPr>
                        <w:rFonts w:ascii="Arial Narrow" w:hAnsi="Arial Narrow"/>
                        <w:noProof/>
                        <w:sz w:val="28"/>
                        <w:szCs w:val="28"/>
                        <w:lang w:val="mk-MK"/>
                      </w:rPr>
                    </w:pPr>
                  </w:p>
                  <w:p w14:paraId="6D56012C" w14:textId="36C4BB7D" w:rsidR="00660C61" w:rsidRDefault="00660C61" w:rsidP="00660C61">
                    <w:pPr>
                      <w:pStyle w:val="Header"/>
                      <w:tabs>
                        <w:tab w:val="clear" w:pos="4680"/>
                        <w:tab w:val="clear" w:pos="9360"/>
                      </w:tabs>
                      <w:rPr>
                        <w:rFonts w:ascii="Arial Narrow" w:hAnsi="Arial Narrow"/>
                        <w:noProof/>
                        <w:sz w:val="28"/>
                        <w:szCs w:val="28"/>
                        <w:lang w:val="mk-MK"/>
                      </w:rPr>
                    </w:pPr>
                    <w:r>
                      <w:rPr>
                        <w:rFonts w:ascii="Arial Narrow" w:hAnsi="Arial Narrow"/>
                        <w:noProof/>
                        <w:sz w:val="28"/>
                        <w:szCs w:val="28"/>
                      </w:rPr>
                      <w:t xml:space="preserve">          </w:t>
                    </w:r>
                    <w:r>
                      <w:rPr>
                        <w:noProof/>
                      </w:rPr>
                      <w:drawing>
                        <wp:inline distT="0" distB="0" distL="0" distR="0" wp14:anchorId="7C068E92" wp14:editId="22987419">
                          <wp:extent cx="800100" cy="374650"/>
                          <wp:effectExtent l="0" t="0" r="0" b="6350"/>
                          <wp:docPr id="150075795" name="Picture 150075795" descr="C:\Users\D.premceski\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premceski\AppData\Local\Microsoft\Windows\INetCache\Content.Wor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74650"/>
                                  </a:xfrm>
                                  <a:prstGeom prst="rect">
                                    <a:avLst/>
                                  </a:prstGeom>
                                  <a:noFill/>
                                  <a:ln>
                                    <a:noFill/>
                                  </a:ln>
                                </pic:spPr>
                              </pic:pic>
                            </a:graphicData>
                          </a:graphic>
                        </wp:inline>
                      </w:drawing>
                    </w:r>
                    <w:r>
                      <w:rPr>
                        <w:rFonts w:ascii="Arial Narrow" w:hAnsi="Arial Narrow"/>
                        <w:noProof/>
                        <w:sz w:val="28"/>
                        <w:szCs w:val="28"/>
                        <w:lang w:val="mk-MK"/>
                      </w:rPr>
                      <w:t xml:space="preserve"> </w:t>
                    </w:r>
                    <w:r w:rsidR="005B7AEA">
                      <w:rPr>
                        <w:rFonts w:ascii="Arial Narrow" w:hAnsi="Arial Narrow"/>
                        <w:noProof/>
                        <w:sz w:val="28"/>
                        <w:szCs w:val="28"/>
                        <w:lang w:val="sq-AL"/>
                      </w:rPr>
                      <w:t>Plani vjetor për vlerësimin e rreziqeve nga korupsioni të Agjencisë për vitin 2025</w:t>
                    </w:r>
                  </w:p>
                  <w:p w14:paraId="1777E7ED" w14:textId="77777777" w:rsidR="00660C61" w:rsidRPr="00A2681D" w:rsidRDefault="00660C61" w:rsidP="00660C61">
                    <w:pPr>
                      <w:pStyle w:val="Header"/>
                      <w:tabs>
                        <w:tab w:val="clear" w:pos="4680"/>
                        <w:tab w:val="clear" w:pos="9360"/>
                      </w:tabs>
                      <w:jc w:val="center"/>
                      <w:rPr>
                        <w:rFonts w:ascii="Arial Narrow" w:hAnsi="Arial Narrow"/>
                        <w:noProof/>
                        <w:sz w:val="28"/>
                        <w:szCs w:val="28"/>
                        <w:lang w:val="mk-MK"/>
                      </w:rPr>
                    </w:pPr>
                  </w:p>
                  <w:p w14:paraId="6E093B26" w14:textId="77777777" w:rsidR="00660C61" w:rsidRDefault="00660C61" w:rsidP="00660C61">
                    <w:pPr>
                      <w:pStyle w:val="Header"/>
                      <w:tabs>
                        <w:tab w:val="clear" w:pos="4680"/>
                        <w:tab w:val="clear" w:pos="9360"/>
                      </w:tabs>
                      <w:jc w:val="center"/>
                      <w:rPr>
                        <w:caps/>
                        <w:color w:val="FFFFFF" w:themeColor="background1"/>
                      </w:rPr>
                    </w:pPr>
                  </w:p>
                </w:txbxContent>
              </v:textbox>
              <w10:wrap type="square" anchorx="page" anchory="page"/>
            </v:rect>
          </w:pict>
        </mc:Fallback>
      </mc:AlternateContent>
    </w:r>
  </w:p>
  <w:p w14:paraId="16E949FC" w14:textId="77777777" w:rsidR="00660C61" w:rsidRDefault="00660C61" w:rsidP="00660C61">
    <w:pPr>
      <w:pStyle w:val="Header"/>
    </w:pPr>
  </w:p>
  <w:p w14:paraId="0EC818A6" w14:textId="77777777" w:rsidR="00660C61" w:rsidRDefault="00660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654"/>
    <w:multiLevelType w:val="hybridMultilevel"/>
    <w:tmpl w:val="C3621B64"/>
    <w:lvl w:ilvl="0" w:tplc="794844EE">
      <w:start w:val="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1220D"/>
    <w:multiLevelType w:val="hybridMultilevel"/>
    <w:tmpl w:val="7BF286FE"/>
    <w:lvl w:ilvl="0" w:tplc="5D2E0AC0">
      <w:start w:val="1"/>
      <w:numFmt w:val="bullet"/>
      <w:lvlText w:val="-"/>
      <w:lvlJc w:val="left"/>
      <w:pPr>
        <w:ind w:left="1140" w:hanging="360"/>
      </w:pPr>
      <w:rPr>
        <w:rFonts w:ascii="Arial" w:eastAsia="Calibri" w:hAnsi="Arial" w:cs="Arial" w:hint="default"/>
        <w:color w:val="auto"/>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2" w15:restartNumberingAfterBreak="0">
    <w:nsid w:val="09792427"/>
    <w:multiLevelType w:val="hybridMultilevel"/>
    <w:tmpl w:val="BC940EF2"/>
    <w:lvl w:ilvl="0" w:tplc="C5B666BC">
      <w:numFmt w:val="bullet"/>
      <w:lvlText w:val="-"/>
      <w:lvlJc w:val="left"/>
      <w:pPr>
        <w:ind w:left="1080" w:hanging="360"/>
      </w:pPr>
      <w:rPr>
        <w:rFonts w:ascii="Arial" w:eastAsiaTheme="minorHAnsi"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916C59"/>
    <w:multiLevelType w:val="hybridMultilevel"/>
    <w:tmpl w:val="DEEEDB4E"/>
    <w:lvl w:ilvl="0" w:tplc="6010AC5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33EB0"/>
    <w:multiLevelType w:val="hybridMultilevel"/>
    <w:tmpl w:val="47CAA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B6D6D"/>
    <w:multiLevelType w:val="hybridMultilevel"/>
    <w:tmpl w:val="966AE96C"/>
    <w:lvl w:ilvl="0" w:tplc="794844EE">
      <w:start w:val="13"/>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7F1BDB"/>
    <w:multiLevelType w:val="hybridMultilevel"/>
    <w:tmpl w:val="8EFE4E24"/>
    <w:lvl w:ilvl="0" w:tplc="0A6E5BD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8D6F82"/>
    <w:multiLevelType w:val="hybridMultilevel"/>
    <w:tmpl w:val="C38094E6"/>
    <w:lvl w:ilvl="0" w:tplc="CD164BF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C20B9"/>
    <w:multiLevelType w:val="hybridMultilevel"/>
    <w:tmpl w:val="FE162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D4492"/>
    <w:multiLevelType w:val="hybridMultilevel"/>
    <w:tmpl w:val="8A38F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273EC"/>
    <w:multiLevelType w:val="hybridMultilevel"/>
    <w:tmpl w:val="900A35A2"/>
    <w:lvl w:ilvl="0" w:tplc="952EB10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A7A38"/>
    <w:multiLevelType w:val="hybridMultilevel"/>
    <w:tmpl w:val="83E6850C"/>
    <w:lvl w:ilvl="0" w:tplc="0409000F">
      <w:start w:val="1"/>
      <w:numFmt w:val="decimal"/>
      <w:lvlText w:val="%1."/>
      <w:lvlJc w:val="lef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41447090">
    <w:abstractNumId w:val="0"/>
  </w:num>
  <w:num w:numId="2" w16cid:durableId="468086011">
    <w:abstractNumId w:val="2"/>
  </w:num>
  <w:num w:numId="3" w16cid:durableId="918564262">
    <w:abstractNumId w:val="6"/>
  </w:num>
  <w:num w:numId="4" w16cid:durableId="2135975001">
    <w:abstractNumId w:val="7"/>
  </w:num>
  <w:num w:numId="5" w16cid:durableId="240601283">
    <w:abstractNumId w:val="3"/>
  </w:num>
  <w:num w:numId="6" w16cid:durableId="1127506696">
    <w:abstractNumId w:val="4"/>
  </w:num>
  <w:num w:numId="7" w16cid:durableId="2127845549">
    <w:abstractNumId w:val="10"/>
  </w:num>
  <w:num w:numId="8" w16cid:durableId="233012705">
    <w:abstractNumId w:val="5"/>
  </w:num>
  <w:num w:numId="9" w16cid:durableId="749742456">
    <w:abstractNumId w:val="8"/>
  </w:num>
  <w:num w:numId="10" w16cid:durableId="1412384263">
    <w:abstractNumId w:val="1"/>
  </w:num>
  <w:num w:numId="11" w16cid:durableId="2130464151">
    <w:abstractNumId w:val="9"/>
  </w:num>
  <w:num w:numId="12" w16cid:durableId="2044481316">
    <w:abstractNumId w:val="11"/>
  </w:num>
  <w:num w:numId="13" w16cid:durableId="78798606">
    <w:abstractNumId w:val="2"/>
  </w:num>
  <w:num w:numId="14" w16cid:durableId="199645256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6AF"/>
    <w:rsid w:val="0000359C"/>
    <w:rsid w:val="00003D2E"/>
    <w:rsid w:val="000129BD"/>
    <w:rsid w:val="00012DB7"/>
    <w:rsid w:val="000130AC"/>
    <w:rsid w:val="000227CB"/>
    <w:rsid w:val="000245D7"/>
    <w:rsid w:val="00027C25"/>
    <w:rsid w:val="0003328B"/>
    <w:rsid w:val="00034745"/>
    <w:rsid w:val="00035592"/>
    <w:rsid w:val="00043809"/>
    <w:rsid w:val="00045669"/>
    <w:rsid w:val="00045E14"/>
    <w:rsid w:val="00053692"/>
    <w:rsid w:val="0005607C"/>
    <w:rsid w:val="00060597"/>
    <w:rsid w:val="000634CC"/>
    <w:rsid w:val="00065A69"/>
    <w:rsid w:val="00070C7A"/>
    <w:rsid w:val="00075D2B"/>
    <w:rsid w:val="000766C4"/>
    <w:rsid w:val="0008332A"/>
    <w:rsid w:val="00087A94"/>
    <w:rsid w:val="0009500E"/>
    <w:rsid w:val="000966AF"/>
    <w:rsid w:val="000A0530"/>
    <w:rsid w:val="000A5AF5"/>
    <w:rsid w:val="000C3A16"/>
    <w:rsid w:val="000C77E8"/>
    <w:rsid w:val="000D3917"/>
    <w:rsid w:val="000D53B6"/>
    <w:rsid w:val="000E2E58"/>
    <w:rsid w:val="000E3ED1"/>
    <w:rsid w:val="000E5EB2"/>
    <w:rsid w:val="000F0B62"/>
    <w:rsid w:val="000F5190"/>
    <w:rsid w:val="00102198"/>
    <w:rsid w:val="00110ED8"/>
    <w:rsid w:val="001122D3"/>
    <w:rsid w:val="00115618"/>
    <w:rsid w:val="001175C2"/>
    <w:rsid w:val="00125828"/>
    <w:rsid w:val="0014269D"/>
    <w:rsid w:val="00144EE6"/>
    <w:rsid w:val="00181935"/>
    <w:rsid w:val="0018232F"/>
    <w:rsid w:val="00187038"/>
    <w:rsid w:val="001A3C26"/>
    <w:rsid w:val="001A5466"/>
    <w:rsid w:val="001A69A9"/>
    <w:rsid w:val="001B0670"/>
    <w:rsid w:val="001B1F4F"/>
    <w:rsid w:val="001B7A4E"/>
    <w:rsid w:val="001C0542"/>
    <w:rsid w:val="001C2AD2"/>
    <w:rsid w:val="001C475A"/>
    <w:rsid w:val="001C5DDC"/>
    <w:rsid w:val="001D1DD5"/>
    <w:rsid w:val="001D25B6"/>
    <w:rsid w:val="001D6B20"/>
    <w:rsid w:val="001E0270"/>
    <w:rsid w:val="001E5DF6"/>
    <w:rsid w:val="001F098C"/>
    <w:rsid w:val="001F2324"/>
    <w:rsid w:val="001F5B46"/>
    <w:rsid w:val="00201D98"/>
    <w:rsid w:val="0020267E"/>
    <w:rsid w:val="002057C8"/>
    <w:rsid w:val="00213FD3"/>
    <w:rsid w:val="00214FF8"/>
    <w:rsid w:val="00220F52"/>
    <w:rsid w:val="0022273F"/>
    <w:rsid w:val="00223692"/>
    <w:rsid w:val="00242A0C"/>
    <w:rsid w:val="00250174"/>
    <w:rsid w:val="00272BE1"/>
    <w:rsid w:val="0027497E"/>
    <w:rsid w:val="00285EDD"/>
    <w:rsid w:val="00295CDC"/>
    <w:rsid w:val="00297E32"/>
    <w:rsid w:val="002A0285"/>
    <w:rsid w:val="002A5316"/>
    <w:rsid w:val="002B37D5"/>
    <w:rsid w:val="002B487A"/>
    <w:rsid w:val="002B4A79"/>
    <w:rsid w:val="002C1AB0"/>
    <w:rsid w:val="002C3F28"/>
    <w:rsid w:val="002C44C8"/>
    <w:rsid w:val="002C6E92"/>
    <w:rsid w:val="002D7B85"/>
    <w:rsid w:val="002E386C"/>
    <w:rsid w:val="002E5E53"/>
    <w:rsid w:val="002E6352"/>
    <w:rsid w:val="002F28B9"/>
    <w:rsid w:val="00306DD8"/>
    <w:rsid w:val="003127AC"/>
    <w:rsid w:val="003148EB"/>
    <w:rsid w:val="00315EB8"/>
    <w:rsid w:val="00317167"/>
    <w:rsid w:val="003269CC"/>
    <w:rsid w:val="003372AC"/>
    <w:rsid w:val="003419FD"/>
    <w:rsid w:val="0034347D"/>
    <w:rsid w:val="003525A6"/>
    <w:rsid w:val="00355A3C"/>
    <w:rsid w:val="00355A6B"/>
    <w:rsid w:val="00364AE2"/>
    <w:rsid w:val="00380E5A"/>
    <w:rsid w:val="0038302D"/>
    <w:rsid w:val="00390723"/>
    <w:rsid w:val="0039095A"/>
    <w:rsid w:val="00390D3F"/>
    <w:rsid w:val="0039311E"/>
    <w:rsid w:val="00393FAB"/>
    <w:rsid w:val="00395724"/>
    <w:rsid w:val="003964DA"/>
    <w:rsid w:val="003B4435"/>
    <w:rsid w:val="003C3ED6"/>
    <w:rsid w:val="003C7796"/>
    <w:rsid w:val="003E1442"/>
    <w:rsid w:val="003E4CCD"/>
    <w:rsid w:val="003F5357"/>
    <w:rsid w:val="003F6C7D"/>
    <w:rsid w:val="003F6E7B"/>
    <w:rsid w:val="00416538"/>
    <w:rsid w:val="00416A3C"/>
    <w:rsid w:val="00426892"/>
    <w:rsid w:val="004279ED"/>
    <w:rsid w:val="00436325"/>
    <w:rsid w:val="0044159B"/>
    <w:rsid w:val="004420D6"/>
    <w:rsid w:val="004436B1"/>
    <w:rsid w:val="00443F2A"/>
    <w:rsid w:val="004471CE"/>
    <w:rsid w:val="00451417"/>
    <w:rsid w:val="004567FB"/>
    <w:rsid w:val="00460451"/>
    <w:rsid w:val="004631F6"/>
    <w:rsid w:val="00467694"/>
    <w:rsid w:val="00467F06"/>
    <w:rsid w:val="00473708"/>
    <w:rsid w:val="00473EA9"/>
    <w:rsid w:val="004763F0"/>
    <w:rsid w:val="004A45F5"/>
    <w:rsid w:val="004A6F27"/>
    <w:rsid w:val="004B3C99"/>
    <w:rsid w:val="004C0111"/>
    <w:rsid w:val="004C0599"/>
    <w:rsid w:val="004C0F3D"/>
    <w:rsid w:val="004C2132"/>
    <w:rsid w:val="004C280E"/>
    <w:rsid w:val="004C4D02"/>
    <w:rsid w:val="004C56B8"/>
    <w:rsid w:val="004D5B08"/>
    <w:rsid w:val="004E0141"/>
    <w:rsid w:val="004F78FF"/>
    <w:rsid w:val="004F7E3B"/>
    <w:rsid w:val="00514881"/>
    <w:rsid w:val="0052311E"/>
    <w:rsid w:val="00527BBD"/>
    <w:rsid w:val="005301E8"/>
    <w:rsid w:val="005447BF"/>
    <w:rsid w:val="005448B7"/>
    <w:rsid w:val="005463F7"/>
    <w:rsid w:val="00546738"/>
    <w:rsid w:val="00556C33"/>
    <w:rsid w:val="005809B5"/>
    <w:rsid w:val="00582AF9"/>
    <w:rsid w:val="00587241"/>
    <w:rsid w:val="00593AE2"/>
    <w:rsid w:val="005A3630"/>
    <w:rsid w:val="005B1435"/>
    <w:rsid w:val="005B22A0"/>
    <w:rsid w:val="005B7AEA"/>
    <w:rsid w:val="005D42DD"/>
    <w:rsid w:val="005E595A"/>
    <w:rsid w:val="005E7105"/>
    <w:rsid w:val="0060135A"/>
    <w:rsid w:val="00603B4A"/>
    <w:rsid w:val="006045B7"/>
    <w:rsid w:val="0060791A"/>
    <w:rsid w:val="0062351F"/>
    <w:rsid w:val="00634F40"/>
    <w:rsid w:val="0063740F"/>
    <w:rsid w:val="006433BB"/>
    <w:rsid w:val="00646ACE"/>
    <w:rsid w:val="00652927"/>
    <w:rsid w:val="006542F8"/>
    <w:rsid w:val="00654BFE"/>
    <w:rsid w:val="00660C61"/>
    <w:rsid w:val="00673672"/>
    <w:rsid w:val="006736E9"/>
    <w:rsid w:val="0067596E"/>
    <w:rsid w:val="0067608F"/>
    <w:rsid w:val="00690854"/>
    <w:rsid w:val="00690B2C"/>
    <w:rsid w:val="006974D5"/>
    <w:rsid w:val="006A30F8"/>
    <w:rsid w:val="006C00C3"/>
    <w:rsid w:val="006C4A51"/>
    <w:rsid w:val="006C51FD"/>
    <w:rsid w:val="006C6A27"/>
    <w:rsid w:val="006D0C1C"/>
    <w:rsid w:val="006D2161"/>
    <w:rsid w:val="006D2344"/>
    <w:rsid w:val="006E6133"/>
    <w:rsid w:val="006F04C8"/>
    <w:rsid w:val="006F0C5B"/>
    <w:rsid w:val="006F36E2"/>
    <w:rsid w:val="006F74FA"/>
    <w:rsid w:val="007063BE"/>
    <w:rsid w:val="00713C90"/>
    <w:rsid w:val="00720B2A"/>
    <w:rsid w:val="007237B0"/>
    <w:rsid w:val="00724FB3"/>
    <w:rsid w:val="0073767A"/>
    <w:rsid w:val="007405E8"/>
    <w:rsid w:val="00743C88"/>
    <w:rsid w:val="00753BB6"/>
    <w:rsid w:val="007577D8"/>
    <w:rsid w:val="00772BFD"/>
    <w:rsid w:val="00772C15"/>
    <w:rsid w:val="00776007"/>
    <w:rsid w:val="00786693"/>
    <w:rsid w:val="0079028D"/>
    <w:rsid w:val="00792531"/>
    <w:rsid w:val="007A5B30"/>
    <w:rsid w:val="007A73BE"/>
    <w:rsid w:val="007B5F3D"/>
    <w:rsid w:val="007C44FE"/>
    <w:rsid w:val="007C78B9"/>
    <w:rsid w:val="007D325D"/>
    <w:rsid w:val="007D3693"/>
    <w:rsid w:val="007D545C"/>
    <w:rsid w:val="007E27E6"/>
    <w:rsid w:val="007F137A"/>
    <w:rsid w:val="007F1B0D"/>
    <w:rsid w:val="007F1BE2"/>
    <w:rsid w:val="007F33B4"/>
    <w:rsid w:val="008020ED"/>
    <w:rsid w:val="00806C15"/>
    <w:rsid w:val="00820BB4"/>
    <w:rsid w:val="00824D53"/>
    <w:rsid w:val="00827006"/>
    <w:rsid w:val="0083581B"/>
    <w:rsid w:val="008374A6"/>
    <w:rsid w:val="0084600A"/>
    <w:rsid w:val="008465E1"/>
    <w:rsid w:val="00847FFB"/>
    <w:rsid w:val="00853E7A"/>
    <w:rsid w:val="00857A58"/>
    <w:rsid w:val="00875F62"/>
    <w:rsid w:val="0088010E"/>
    <w:rsid w:val="008834C9"/>
    <w:rsid w:val="008955E5"/>
    <w:rsid w:val="00896FFA"/>
    <w:rsid w:val="008A0F21"/>
    <w:rsid w:val="008B4779"/>
    <w:rsid w:val="008B48F1"/>
    <w:rsid w:val="008C1E80"/>
    <w:rsid w:val="008C795E"/>
    <w:rsid w:val="008C7B48"/>
    <w:rsid w:val="008D123C"/>
    <w:rsid w:val="008D68FF"/>
    <w:rsid w:val="008E1A03"/>
    <w:rsid w:val="008E483C"/>
    <w:rsid w:val="008E613B"/>
    <w:rsid w:val="008F6E8F"/>
    <w:rsid w:val="009012E5"/>
    <w:rsid w:val="00903F29"/>
    <w:rsid w:val="00905144"/>
    <w:rsid w:val="00905BFF"/>
    <w:rsid w:val="0091021D"/>
    <w:rsid w:val="0091045E"/>
    <w:rsid w:val="00910EE9"/>
    <w:rsid w:val="009115DB"/>
    <w:rsid w:val="009135C5"/>
    <w:rsid w:val="00914135"/>
    <w:rsid w:val="0092197F"/>
    <w:rsid w:val="00933A8B"/>
    <w:rsid w:val="00941289"/>
    <w:rsid w:val="00942407"/>
    <w:rsid w:val="009467DE"/>
    <w:rsid w:val="00950D4A"/>
    <w:rsid w:val="00960E35"/>
    <w:rsid w:val="00963557"/>
    <w:rsid w:val="0096638E"/>
    <w:rsid w:val="00973F00"/>
    <w:rsid w:val="009744A9"/>
    <w:rsid w:val="0097727E"/>
    <w:rsid w:val="00977EEE"/>
    <w:rsid w:val="009801EF"/>
    <w:rsid w:val="0098092A"/>
    <w:rsid w:val="00982723"/>
    <w:rsid w:val="009836AD"/>
    <w:rsid w:val="009A0E0E"/>
    <w:rsid w:val="009A16A6"/>
    <w:rsid w:val="009B308E"/>
    <w:rsid w:val="009B45B2"/>
    <w:rsid w:val="009B6478"/>
    <w:rsid w:val="009C5420"/>
    <w:rsid w:val="009D6D80"/>
    <w:rsid w:val="009D7D63"/>
    <w:rsid w:val="009E3A32"/>
    <w:rsid w:val="009E49F8"/>
    <w:rsid w:val="009F2804"/>
    <w:rsid w:val="009F4EA6"/>
    <w:rsid w:val="009F677F"/>
    <w:rsid w:val="009F7AB1"/>
    <w:rsid w:val="009F7AF7"/>
    <w:rsid w:val="00A01C4C"/>
    <w:rsid w:val="00A066A1"/>
    <w:rsid w:val="00A12835"/>
    <w:rsid w:val="00A12DB6"/>
    <w:rsid w:val="00A14553"/>
    <w:rsid w:val="00A22CE3"/>
    <w:rsid w:val="00A25748"/>
    <w:rsid w:val="00A305FC"/>
    <w:rsid w:val="00A353BC"/>
    <w:rsid w:val="00A40146"/>
    <w:rsid w:val="00A46D52"/>
    <w:rsid w:val="00A47E0A"/>
    <w:rsid w:val="00A508E9"/>
    <w:rsid w:val="00A6395C"/>
    <w:rsid w:val="00A72010"/>
    <w:rsid w:val="00A930EE"/>
    <w:rsid w:val="00A97FA0"/>
    <w:rsid w:val="00AA5F0B"/>
    <w:rsid w:val="00AA6BDD"/>
    <w:rsid w:val="00AB1E81"/>
    <w:rsid w:val="00AB2EBC"/>
    <w:rsid w:val="00AB5862"/>
    <w:rsid w:val="00AB6F9A"/>
    <w:rsid w:val="00AC5AD9"/>
    <w:rsid w:val="00AC696E"/>
    <w:rsid w:val="00AD4F2C"/>
    <w:rsid w:val="00AF34D8"/>
    <w:rsid w:val="00B00CF1"/>
    <w:rsid w:val="00B056A6"/>
    <w:rsid w:val="00B112DC"/>
    <w:rsid w:val="00B15DCB"/>
    <w:rsid w:val="00B20959"/>
    <w:rsid w:val="00B354B1"/>
    <w:rsid w:val="00B37890"/>
    <w:rsid w:val="00B421AC"/>
    <w:rsid w:val="00B47672"/>
    <w:rsid w:val="00B5610B"/>
    <w:rsid w:val="00B57976"/>
    <w:rsid w:val="00B61DA3"/>
    <w:rsid w:val="00B656C1"/>
    <w:rsid w:val="00B70839"/>
    <w:rsid w:val="00B72C72"/>
    <w:rsid w:val="00B83151"/>
    <w:rsid w:val="00B92A18"/>
    <w:rsid w:val="00B93866"/>
    <w:rsid w:val="00B961EE"/>
    <w:rsid w:val="00BB06C4"/>
    <w:rsid w:val="00BB1E14"/>
    <w:rsid w:val="00BB20C0"/>
    <w:rsid w:val="00BB7FA3"/>
    <w:rsid w:val="00BC1B53"/>
    <w:rsid w:val="00BC1D0B"/>
    <w:rsid w:val="00BD2F9F"/>
    <w:rsid w:val="00BF0798"/>
    <w:rsid w:val="00BF1BE7"/>
    <w:rsid w:val="00BF4CFE"/>
    <w:rsid w:val="00C000A4"/>
    <w:rsid w:val="00C01FC3"/>
    <w:rsid w:val="00C07D43"/>
    <w:rsid w:val="00C14EC6"/>
    <w:rsid w:val="00C15A33"/>
    <w:rsid w:val="00C22476"/>
    <w:rsid w:val="00C25E1D"/>
    <w:rsid w:val="00C263ED"/>
    <w:rsid w:val="00C347DD"/>
    <w:rsid w:val="00C71285"/>
    <w:rsid w:val="00C73638"/>
    <w:rsid w:val="00C73B51"/>
    <w:rsid w:val="00C93EE5"/>
    <w:rsid w:val="00C94803"/>
    <w:rsid w:val="00CA37FC"/>
    <w:rsid w:val="00CA4F89"/>
    <w:rsid w:val="00CB67CC"/>
    <w:rsid w:val="00CE57F9"/>
    <w:rsid w:val="00CF4553"/>
    <w:rsid w:val="00D014D0"/>
    <w:rsid w:val="00D02F3A"/>
    <w:rsid w:val="00D05615"/>
    <w:rsid w:val="00D20BC6"/>
    <w:rsid w:val="00D240A6"/>
    <w:rsid w:val="00D25BB8"/>
    <w:rsid w:val="00D32A23"/>
    <w:rsid w:val="00D35660"/>
    <w:rsid w:val="00D418B5"/>
    <w:rsid w:val="00D4359C"/>
    <w:rsid w:val="00D438B9"/>
    <w:rsid w:val="00D53B4A"/>
    <w:rsid w:val="00D64F67"/>
    <w:rsid w:val="00D767F8"/>
    <w:rsid w:val="00D77BA8"/>
    <w:rsid w:val="00D84BD9"/>
    <w:rsid w:val="00D92DEA"/>
    <w:rsid w:val="00D9342E"/>
    <w:rsid w:val="00DB3F2D"/>
    <w:rsid w:val="00DB5317"/>
    <w:rsid w:val="00DB72BC"/>
    <w:rsid w:val="00DC5C52"/>
    <w:rsid w:val="00DD013F"/>
    <w:rsid w:val="00DD16D5"/>
    <w:rsid w:val="00DD47C1"/>
    <w:rsid w:val="00DD7CFE"/>
    <w:rsid w:val="00DE1974"/>
    <w:rsid w:val="00DE3551"/>
    <w:rsid w:val="00DE3E80"/>
    <w:rsid w:val="00DE583E"/>
    <w:rsid w:val="00E047FE"/>
    <w:rsid w:val="00E338A1"/>
    <w:rsid w:val="00E33AD2"/>
    <w:rsid w:val="00E34447"/>
    <w:rsid w:val="00E35ABA"/>
    <w:rsid w:val="00E530B4"/>
    <w:rsid w:val="00E5445D"/>
    <w:rsid w:val="00E56F25"/>
    <w:rsid w:val="00E62013"/>
    <w:rsid w:val="00E622A0"/>
    <w:rsid w:val="00E6575D"/>
    <w:rsid w:val="00E661BB"/>
    <w:rsid w:val="00E73231"/>
    <w:rsid w:val="00E77296"/>
    <w:rsid w:val="00E95138"/>
    <w:rsid w:val="00E971E3"/>
    <w:rsid w:val="00EA442B"/>
    <w:rsid w:val="00EA47E6"/>
    <w:rsid w:val="00EA7828"/>
    <w:rsid w:val="00EB4587"/>
    <w:rsid w:val="00EB4A10"/>
    <w:rsid w:val="00EC1216"/>
    <w:rsid w:val="00EC4042"/>
    <w:rsid w:val="00EC40BB"/>
    <w:rsid w:val="00EC6E30"/>
    <w:rsid w:val="00ED1CA1"/>
    <w:rsid w:val="00ED4A1D"/>
    <w:rsid w:val="00ED5D21"/>
    <w:rsid w:val="00EE360F"/>
    <w:rsid w:val="00EE44CD"/>
    <w:rsid w:val="00EE5EE1"/>
    <w:rsid w:val="00EE6AB1"/>
    <w:rsid w:val="00EF1B89"/>
    <w:rsid w:val="00EF23D3"/>
    <w:rsid w:val="00F06E46"/>
    <w:rsid w:val="00F073E1"/>
    <w:rsid w:val="00F1722C"/>
    <w:rsid w:val="00F17A60"/>
    <w:rsid w:val="00F20048"/>
    <w:rsid w:val="00F20F99"/>
    <w:rsid w:val="00F235AB"/>
    <w:rsid w:val="00F268F8"/>
    <w:rsid w:val="00F30E8F"/>
    <w:rsid w:val="00F319D6"/>
    <w:rsid w:val="00F564AB"/>
    <w:rsid w:val="00F61A73"/>
    <w:rsid w:val="00F6387E"/>
    <w:rsid w:val="00F711AB"/>
    <w:rsid w:val="00F750DF"/>
    <w:rsid w:val="00F76049"/>
    <w:rsid w:val="00F816CD"/>
    <w:rsid w:val="00F9795E"/>
    <w:rsid w:val="00FA19DD"/>
    <w:rsid w:val="00FA6159"/>
    <w:rsid w:val="00FB1D69"/>
    <w:rsid w:val="00FB7667"/>
    <w:rsid w:val="00FC5FFA"/>
    <w:rsid w:val="00FD139D"/>
    <w:rsid w:val="00FD585B"/>
    <w:rsid w:val="00FE1E7F"/>
    <w:rsid w:val="00FE2C54"/>
    <w:rsid w:val="00FF292F"/>
    <w:rsid w:val="00FF3221"/>
    <w:rsid w:val="00FF43DA"/>
    <w:rsid w:val="00FF587F"/>
    <w:rsid w:val="00FF6A55"/>
    <w:rsid w:val="00FF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7305"/>
  <w15:chartTrackingRefBased/>
  <w15:docId w15:val="{FD513875-B357-48C2-8616-D7FC7BF8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6AF"/>
  </w:style>
  <w:style w:type="paragraph" w:styleId="Heading1">
    <w:name w:val="heading 1"/>
    <w:basedOn w:val="Normal"/>
    <w:link w:val="Heading1Char"/>
    <w:uiPriority w:val="9"/>
    <w:qFormat/>
    <w:rsid w:val="000966A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6AF"/>
    <w:rPr>
      <w:rFonts w:ascii="Times New Roman" w:hAnsi="Times New Roman" w:cs="Times New Roman"/>
      <w:b/>
      <w:bCs/>
      <w:kern w:val="36"/>
      <w:sz w:val="48"/>
      <w:szCs w:val="48"/>
    </w:rPr>
  </w:style>
  <w:style w:type="paragraph" w:styleId="Header">
    <w:name w:val="header"/>
    <w:basedOn w:val="Normal"/>
    <w:link w:val="HeaderChar"/>
    <w:uiPriority w:val="99"/>
    <w:unhideWhenUsed/>
    <w:rsid w:val="00096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6AF"/>
  </w:style>
  <w:style w:type="paragraph" w:styleId="Footer">
    <w:name w:val="footer"/>
    <w:basedOn w:val="Normal"/>
    <w:link w:val="FooterChar"/>
    <w:uiPriority w:val="99"/>
    <w:unhideWhenUsed/>
    <w:rsid w:val="00096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6AF"/>
  </w:style>
  <w:style w:type="paragraph" w:styleId="ListParagraph">
    <w:name w:val="List Paragraph"/>
    <w:basedOn w:val="Normal"/>
    <w:uiPriority w:val="34"/>
    <w:qFormat/>
    <w:rsid w:val="000966AF"/>
    <w:pPr>
      <w:ind w:left="720"/>
      <w:contextualSpacing/>
    </w:pPr>
  </w:style>
  <w:style w:type="table" w:styleId="TableGrid">
    <w:name w:val="Table Grid"/>
    <w:basedOn w:val="TableNormal"/>
    <w:uiPriority w:val="59"/>
    <w:rsid w:val="0009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66AF"/>
    <w:rPr>
      <w:sz w:val="16"/>
      <w:szCs w:val="16"/>
    </w:rPr>
  </w:style>
  <w:style w:type="paragraph" w:styleId="CommentText">
    <w:name w:val="annotation text"/>
    <w:basedOn w:val="Normal"/>
    <w:link w:val="CommentTextChar"/>
    <w:uiPriority w:val="99"/>
    <w:semiHidden/>
    <w:unhideWhenUsed/>
    <w:rsid w:val="000966AF"/>
    <w:pPr>
      <w:spacing w:line="240" w:lineRule="auto"/>
    </w:pPr>
    <w:rPr>
      <w:sz w:val="20"/>
      <w:szCs w:val="20"/>
    </w:rPr>
  </w:style>
  <w:style w:type="character" w:customStyle="1" w:styleId="CommentTextChar">
    <w:name w:val="Comment Text Char"/>
    <w:basedOn w:val="DefaultParagraphFont"/>
    <w:link w:val="CommentText"/>
    <w:uiPriority w:val="99"/>
    <w:semiHidden/>
    <w:rsid w:val="000966AF"/>
    <w:rPr>
      <w:sz w:val="20"/>
      <w:szCs w:val="20"/>
    </w:rPr>
  </w:style>
  <w:style w:type="paragraph" w:styleId="CommentSubject">
    <w:name w:val="annotation subject"/>
    <w:basedOn w:val="CommentText"/>
    <w:next w:val="CommentText"/>
    <w:link w:val="CommentSubjectChar"/>
    <w:uiPriority w:val="99"/>
    <w:semiHidden/>
    <w:unhideWhenUsed/>
    <w:rsid w:val="000966AF"/>
    <w:rPr>
      <w:b/>
      <w:bCs/>
    </w:rPr>
  </w:style>
  <w:style w:type="character" w:customStyle="1" w:styleId="CommentSubjectChar">
    <w:name w:val="Comment Subject Char"/>
    <w:basedOn w:val="CommentTextChar"/>
    <w:link w:val="CommentSubject"/>
    <w:uiPriority w:val="99"/>
    <w:semiHidden/>
    <w:rsid w:val="000966AF"/>
    <w:rPr>
      <w:b/>
      <w:bCs/>
      <w:sz w:val="20"/>
      <w:szCs w:val="20"/>
    </w:rPr>
  </w:style>
  <w:style w:type="paragraph" w:styleId="BalloonText">
    <w:name w:val="Balloon Text"/>
    <w:basedOn w:val="Normal"/>
    <w:link w:val="BalloonTextChar"/>
    <w:uiPriority w:val="99"/>
    <w:semiHidden/>
    <w:unhideWhenUsed/>
    <w:rsid w:val="00096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6AF"/>
    <w:rPr>
      <w:rFonts w:ascii="Segoe UI" w:hAnsi="Segoe UI" w:cs="Segoe UI"/>
      <w:sz w:val="18"/>
      <w:szCs w:val="18"/>
    </w:rPr>
  </w:style>
  <w:style w:type="paragraph" w:styleId="Revision">
    <w:name w:val="Revision"/>
    <w:hidden/>
    <w:uiPriority w:val="99"/>
    <w:semiHidden/>
    <w:rsid w:val="000966AF"/>
    <w:pPr>
      <w:spacing w:after="0" w:line="240" w:lineRule="auto"/>
    </w:pPr>
  </w:style>
  <w:style w:type="paragraph" w:customStyle="1" w:styleId="Odstavekseznama">
    <w:name w:val="Odstavek seznama"/>
    <w:basedOn w:val="Normal"/>
    <w:uiPriority w:val="99"/>
    <w:rsid w:val="000966AF"/>
    <w:pPr>
      <w:spacing w:after="200" w:line="276" w:lineRule="auto"/>
      <w:ind w:left="720"/>
    </w:pPr>
    <w:rPr>
      <w:rFonts w:ascii="Calibri" w:eastAsia="Calibri" w:hAnsi="Calibri" w:cs="Calibri"/>
    </w:rPr>
  </w:style>
  <w:style w:type="character" w:styleId="FootnoteReference">
    <w:name w:val="footnote reference"/>
    <w:semiHidden/>
    <w:rsid w:val="000966AF"/>
    <w:rPr>
      <w:vertAlign w:val="superscript"/>
    </w:rPr>
  </w:style>
  <w:style w:type="paragraph" w:styleId="FootnoteText">
    <w:name w:val="footnote text"/>
    <w:basedOn w:val="Normal"/>
    <w:link w:val="FootnoteTextChar"/>
    <w:uiPriority w:val="99"/>
    <w:semiHidden/>
    <w:rsid w:val="000966AF"/>
    <w:pPr>
      <w:spacing w:after="0" w:line="240" w:lineRule="auto"/>
    </w:pPr>
    <w:rPr>
      <w:rFonts w:ascii="MAC C Swiss" w:eastAsia="Times New Roman" w:hAnsi="MAC C Swiss" w:cs="Times New Roman"/>
      <w:sz w:val="20"/>
      <w:szCs w:val="20"/>
    </w:rPr>
  </w:style>
  <w:style w:type="character" w:customStyle="1" w:styleId="FootnoteTextChar">
    <w:name w:val="Footnote Text Char"/>
    <w:basedOn w:val="DefaultParagraphFont"/>
    <w:link w:val="FootnoteText"/>
    <w:uiPriority w:val="99"/>
    <w:semiHidden/>
    <w:rsid w:val="000966AF"/>
    <w:rPr>
      <w:rFonts w:ascii="MAC C Swiss" w:eastAsia="Times New Roman" w:hAnsi="MAC C Swiss" w:cs="Times New Roman"/>
      <w:sz w:val="20"/>
      <w:szCs w:val="20"/>
    </w:rPr>
  </w:style>
  <w:style w:type="paragraph" w:styleId="NoSpacing">
    <w:name w:val="No Spacing"/>
    <w:uiPriority w:val="1"/>
    <w:qFormat/>
    <w:rsid w:val="000966AF"/>
    <w:pPr>
      <w:spacing w:after="0" w:line="240" w:lineRule="auto"/>
    </w:pPr>
  </w:style>
  <w:style w:type="character" w:styleId="Hyperlink">
    <w:name w:val="Hyperlink"/>
    <w:basedOn w:val="DefaultParagraphFont"/>
    <w:uiPriority w:val="99"/>
    <w:unhideWhenUsed/>
    <w:rsid w:val="000966AF"/>
    <w:rPr>
      <w:color w:val="0563C1" w:themeColor="hyperlink"/>
      <w:u w:val="single"/>
    </w:rPr>
  </w:style>
  <w:style w:type="paragraph" w:customStyle="1" w:styleId="a">
    <w:name w:val="Знак Знак"/>
    <w:basedOn w:val="Normal"/>
    <w:rsid w:val="00A47E0A"/>
    <w:pPr>
      <w:spacing w:line="240" w:lineRule="exact"/>
    </w:pPr>
    <w:rPr>
      <w:rFonts w:ascii="Tahoma" w:eastAsia="Times New Roman" w:hAnsi="Tahoma" w:cs="Tahoma"/>
      <w:sz w:val="20"/>
      <w:szCs w:val="20"/>
    </w:rPr>
  </w:style>
  <w:style w:type="paragraph" w:customStyle="1" w:styleId="a0">
    <w:name w:val="Знак Знак"/>
    <w:basedOn w:val="Normal"/>
    <w:rsid w:val="002E5E53"/>
    <w:pPr>
      <w:spacing w:line="240" w:lineRule="exact"/>
    </w:pPr>
    <w:rPr>
      <w:rFonts w:ascii="Tahoma" w:eastAsia="Times New Roman" w:hAnsi="Tahoma" w:cs="Tahoma"/>
      <w:sz w:val="20"/>
      <w:szCs w:val="20"/>
    </w:rPr>
  </w:style>
  <w:style w:type="paragraph" w:styleId="NormalWeb">
    <w:name w:val="Normal (Web)"/>
    <w:basedOn w:val="Normal"/>
    <w:uiPriority w:val="99"/>
    <w:semiHidden/>
    <w:unhideWhenUsed/>
    <w:rsid w:val="005301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60350">
      <w:bodyDiv w:val="1"/>
      <w:marLeft w:val="0"/>
      <w:marRight w:val="0"/>
      <w:marTop w:val="0"/>
      <w:marBottom w:val="0"/>
      <w:divBdr>
        <w:top w:val="none" w:sz="0" w:space="0" w:color="auto"/>
        <w:left w:val="none" w:sz="0" w:space="0" w:color="auto"/>
        <w:bottom w:val="none" w:sz="0" w:space="0" w:color="auto"/>
        <w:right w:val="none" w:sz="0" w:space="0" w:color="auto"/>
      </w:divBdr>
    </w:div>
    <w:div w:id="302080546">
      <w:bodyDiv w:val="1"/>
      <w:marLeft w:val="0"/>
      <w:marRight w:val="0"/>
      <w:marTop w:val="0"/>
      <w:marBottom w:val="0"/>
      <w:divBdr>
        <w:top w:val="none" w:sz="0" w:space="0" w:color="auto"/>
        <w:left w:val="none" w:sz="0" w:space="0" w:color="auto"/>
        <w:bottom w:val="none" w:sz="0" w:space="0" w:color="auto"/>
        <w:right w:val="none" w:sz="0" w:space="0" w:color="auto"/>
      </w:divBdr>
    </w:div>
    <w:div w:id="357044046">
      <w:bodyDiv w:val="1"/>
      <w:marLeft w:val="0"/>
      <w:marRight w:val="0"/>
      <w:marTop w:val="0"/>
      <w:marBottom w:val="0"/>
      <w:divBdr>
        <w:top w:val="none" w:sz="0" w:space="0" w:color="auto"/>
        <w:left w:val="none" w:sz="0" w:space="0" w:color="auto"/>
        <w:bottom w:val="none" w:sz="0" w:space="0" w:color="auto"/>
        <w:right w:val="none" w:sz="0" w:space="0" w:color="auto"/>
      </w:divBdr>
    </w:div>
    <w:div w:id="660818239">
      <w:bodyDiv w:val="1"/>
      <w:marLeft w:val="0"/>
      <w:marRight w:val="0"/>
      <w:marTop w:val="0"/>
      <w:marBottom w:val="0"/>
      <w:divBdr>
        <w:top w:val="none" w:sz="0" w:space="0" w:color="auto"/>
        <w:left w:val="none" w:sz="0" w:space="0" w:color="auto"/>
        <w:bottom w:val="none" w:sz="0" w:space="0" w:color="auto"/>
        <w:right w:val="none" w:sz="0" w:space="0" w:color="auto"/>
      </w:divBdr>
    </w:div>
    <w:div w:id="937905082">
      <w:bodyDiv w:val="1"/>
      <w:marLeft w:val="0"/>
      <w:marRight w:val="0"/>
      <w:marTop w:val="0"/>
      <w:marBottom w:val="0"/>
      <w:divBdr>
        <w:top w:val="none" w:sz="0" w:space="0" w:color="auto"/>
        <w:left w:val="none" w:sz="0" w:space="0" w:color="auto"/>
        <w:bottom w:val="none" w:sz="0" w:space="0" w:color="auto"/>
        <w:right w:val="none" w:sz="0" w:space="0" w:color="auto"/>
      </w:divBdr>
    </w:div>
    <w:div w:id="1114978609">
      <w:bodyDiv w:val="1"/>
      <w:marLeft w:val="0"/>
      <w:marRight w:val="0"/>
      <w:marTop w:val="0"/>
      <w:marBottom w:val="0"/>
      <w:divBdr>
        <w:top w:val="none" w:sz="0" w:space="0" w:color="auto"/>
        <w:left w:val="none" w:sz="0" w:space="0" w:color="auto"/>
        <w:bottom w:val="none" w:sz="0" w:space="0" w:color="auto"/>
        <w:right w:val="none" w:sz="0" w:space="0" w:color="auto"/>
      </w:divBdr>
    </w:div>
    <w:div w:id="20141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vmu.mk/wp-content/uploads/2019/08/Upatstvo-za-priem-na-prijavi-od-ukazuvaci-1.pdf" TargetMode="External"/><Relationship Id="rId21" Type="http://schemas.openxmlformats.org/officeDocument/2006/relationships/hyperlink" Target="https://avmu.mk/wp-content/uploads/2019/08/Upatstvo-za-priem-na-prijavi-od-ukazuvaci-1.pdf" TargetMode="External"/><Relationship Id="rId42" Type="http://schemas.openxmlformats.org/officeDocument/2006/relationships/hyperlink" Target="https://avmu.mk/wp-content/uploads/2019/08/Upatstvo-za-priem-na-prijavi-od-ukazuvaci-1.pdf" TargetMode="External"/><Relationship Id="rId47" Type="http://schemas.openxmlformats.org/officeDocument/2006/relationships/hyperlink" Target="https://avmu.mk/wp-content/uploads/2019/08/Upatstvo-za-priem-na-prijavi-od-ukazuvaci-1.pdf" TargetMode="External"/><Relationship Id="rId63" Type="http://schemas.openxmlformats.org/officeDocument/2006/relationships/hyperlink" Target="https://avmu.mk/wp-content/uploads/2019/08/Upatstvo-za-priem-na-prijavi-od-ukazuvaci-1.pdf" TargetMode="External"/><Relationship Id="rId68" Type="http://schemas.openxmlformats.org/officeDocument/2006/relationships/hyperlink" Target="https://avmu.mk/wp-content/uploads/2019/08/Upatstvo-za-priem-na-prijavi-od-ukazuvaci-1.pdf" TargetMode="External"/><Relationship Id="rId84" Type="http://schemas.openxmlformats.org/officeDocument/2006/relationships/hyperlink" Target="https://avmu.mk/wp-content/uploads/2019/08/Upatstvo-za-priem-na-prijavi-od-ukazuvaci-1.pdf" TargetMode="External"/><Relationship Id="rId89" Type="http://schemas.openxmlformats.org/officeDocument/2006/relationships/hyperlink" Target="https://avmu.mk/wp-content/uploads/2019/08/Upatstvo-za-priem-na-prijavi-od-ukazuvaci-1.pdf" TargetMode="External"/><Relationship Id="rId16" Type="http://schemas.openxmlformats.org/officeDocument/2006/relationships/hyperlink" Target="https://avmu.mk/wp-content/uploads/2019/08/Upatstvo-za-priem-na-prijavi-od-ukazuvaci-1.pdf" TargetMode="External"/><Relationship Id="rId107" Type="http://schemas.openxmlformats.org/officeDocument/2006/relationships/theme" Target="theme/theme1.xml"/><Relationship Id="rId11" Type="http://schemas.openxmlformats.org/officeDocument/2006/relationships/hyperlink" Target="https://avmu.mk/wp-content/uploads/2019/08/Upatstvo-za-priem-na-prijavi-od-ukazuvaci-1.pdf" TargetMode="External"/><Relationship Id="rId32" Type="http://schemas.openxmlformats.org/officeDocument/2006/relationships/hyperlink" Target="https://avmu.mk/wp-content/uploads/2019/08/Upatstvo-za-priem-na-prijavi-od-ukazuvaci-1.pdf" TargetMode="External"/><Relationship Id="rId37" Type="http://schemas.openxmlformats.org/officeDocument/2006/relationships/hyperlink" Target="https://avmu.mk/wp-content/uploads/2019/08/Upatstvo-za-priem-na-prijavi-od-ukazuvaci-1.pdf" TargetMode="External"/><Relationship Id="rId53" Type="http://schemas.openxmlformats.org/officeDocument/2006/relationships/hyperlink" Target="https://avmu.mk/wp-content/uploads/2019/08/Upatstvo-za-priem-na-prijavi-od-ukazuvaci-1.pdf" TargetMode="External"/><Relationship Id="rId58" Type="http://schemas.openxmlformats.org/officeDocument/2006/relationships/hyperlink" Target="https://avmu.mk/wp-content/uploads/2019/08/Upatstvo-za-priem-na-prijavi-od-ukazuvaci-1.pdf" TargetMode="External"/><Relationship Id="rId74" Type="http://schemas.openxmlformats.org/officeDocument/2006/relationships/hyperlink" Target="https://avmu.mk/wp-content/uploads/2019/08/Upatstvo-za-priem-na-prijavi-od-ukazuvaci-1.pdf" TargetMode="External"/><Relationship Id="rId79" Type="http://schemas.openxmlformats.org/officeDocument/2006/relationships/hyperlink" Target="https://avmu.mk/wp-content/uploads/2019/08/Upatstvo-za-priem-na-prijavi-od-ukazuvaci-1.pdf"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avmu.mk/wp-content/uploads/2019/08/Upatstvo-za-priem-na-prijavi-od-ukazuvaci-1.pdf" TargetMode="External"/><Relationship Id="rId95" Type="http://schemas.openxmlformats.org/officeDocument/2006/relationships/hyperlink" Target="https://avmu.mk/wp-content/uploads/2019/08/Upatstvo-za-priem-na-prijavi-od-ukazuvaci-1.pdf" TargetMode="External"/><Relationship Id="rId22" Type="http://schemas.openxmlformats.org/officeDocument/2006/relationships/hyperlink" Target="https://avmu.mk/wp-content/uploads/2019/08/Upatstvo-za-priem-na-prijavi-od-ukazuvaci-1.pdf" TargetMode="External"/><Relationship Id="rId27" Type="http://schemas.openxmlformats.org/officeDocument/2006/relationships/hyperlink" Target="https://avmu.mk/wp-content/uploads/2019/08/Upatstvo-za-priem-na-prijavi-od-ukazuvaci-1.pdf" TargetMode="External"/><Relationship Id="rId43" Type="http://schemas.openxmlformats.org/officeDocument/2006/relationships/hyperlink" Target="https://avmu.mk/wp-content/uploads/2019/08/Upatstvo-za-priem-na-prijavi-od-ukazuvaci-1.pdf" TargetMode="External"/><Relationship Id="rId48" Type="http://schemas.openxmlformats.org/officeDocument/2006/relationships/hyperlink" Target="https://avmu.mk/wp-content/uploads/2019/08/Upatstvo-za-priem-na-prijavi-od-ukazuvaci-1.pdf" TargetMode="External"/><Relationship Id="rId64" Type="http://schemas.openxmlformats.org/officeDocument/2006/relationships/hyperlink" Target="https://avmu.mk/wp-content/uploads/2019/08/Upatstvo-za-priem-na-prijavi-od-ukazuvaci-1.pdf" TargetMode="External"/><Relationship Id="rId69" Type="http://schemas.openxmlformats.org/officeDocument/2006/relationships/hyperlink" Target="https://avmu.mk/wp-content/uploads/2019/08/Upatstvo-za-priem-na-prijavi-od-ukazuvaci-1.pdf" TargetMode="External"/><Relationship Id="rId80" Type="http://schemas.openxmlformats.org/officeDocument/2006/relationships/hyperlink" Target="https://avmu.mk/wp-content/uploads/2019/08/Upatstvo-za-priem-na-prijavi-od-ukazuvaci-1.pdf" TargetMode="External"/><Relationship Id="rId85" Type="http://schemas.openxmlformats.org/officeDocument/2006/relationships/hyperlink" Target="https://avmu.mk/wp-content/uploads/2019/08/Upatstvo-za-priem-na-prijavi-od-ukazuvaci-1.pdf" TargetMode="External"/><Relationship Id="rId12" Type="http://schemas.openxmlformats.org/officeDocument/2006/relationships/hyperlink" Target="https://avmu.mk/wp-content/uploads/2019/08/Upatstvo-za-priem-na-prijavi-od-ukazuvaci-1.pdf" TargetMode="External"/><Relationship Id="rId17" Type="http://schemas.openxmlformats.org/officeDocument/2006/relationships/hyperlink" Target="https://avmu.mk/wp-content/uploads/2019/08/Upatstvo-za-priem-na-prijavi-od-ukazuvaci-1.pdf" TargetMode="External"/><Relationship Id="rId33" Type="http://schemas.openxmlformats.org/officeDocument/2006/relationships/hyperlink" Target="https://avmu.mk/wp-content/uploads/2019/08/Upatstvo-za-priem-na-prijavi-od-ukazuvaci-1.pdf" TargetMode="External"/><Relationship Id="rId38" Type="http://schemas.openxmlformats.org/officeDocument/2006/relationships/hyperlink" Target="https://avmu.mk/wp-content/uploads/2019/08/Upatstvo-za-priem-na-prijavi-od-ukazuvaci-1.pdf" TargetMode="External"/><Relationship Id="rId59" Type="http://schemas.openxmlformats.org/officeDocument/2006/relationships/hyperlink" Target="https://avmu.mk/wp-content/uploads/2019/08/Upatstvo-za-priem-na-prijavi-od-ukazuvaci-1.pdf" TargetMode="External"/><Relationship Id="rId103" Type="http://schemas.openxmlformats.org/officeDocument/2006/relationships/footer" Target="footer2.xml"/><Relationship Id="rId20" Type="http://schemas.openxmlformats.org/officeDocument/2006/relationships/hyperlink" Target="https://avmu.mk/wp-content/uploads/2019/08/Upatstvo-za-priem-na-prijavi-od-ukazuvaci-1.pdf" TargetMode="External"/><Relationship Id="rId41" Type="http://schemas.openxmlformats.org/officeDocument/2006/relationships/hyperlink" Target="https://avmu.mk/wp-content/uploads/2019/08/Upatstvo-za-priem-na-prijavi-od-ukazuvaci-1.pdf" TargetMode="External"/><Relationship Id="rId54" Type="http://schemas.openxmlformats.org/officeDocument/2006/relationships/hyperlink" Target="https://avmu.mk/wp-content/uploads/2019/08/Upatstvo-za-priem-na-prijavi-od-ukazuvaci-1.pdf" TargetMode="External"/><Relationship Id="rId62" Type="http://schemas.openxmlformats.org/officeDocument/2006/relationships/hyperlink" Target="https://avmu.mk/wp-content/uploads/2019/08/Upatstvo-za-priem-na-prijavi-od-ukazuvaci-1.pdf" TargetMode="External"/><Relationship Id="rId70" Type="http://schemas.openxmlformats.org/officeDocument/2006/relationships/hyperlink" Target="https://avmu.mk/wp-content/uploads/2019/08/Upatstvo-za-priem-na-prijavi-od-ukazuvaci-1.pdf" TargetMode="External"/><Relationship Id="rId75" Type="http://schemas.openxmlformats.org/officeDocument/2006/relationships/hyperlink" Target="https://avmu.mk/wp-content/uploads/2019/08/Upatstvo-za-priem-na-prijavi-od-ukazuvaci-1.pdf" TargetMode="External"/><Relationship Id="rId83" Type="http://schemas.openxmlformats.org/officeDocument/2006/relationships/hyperlink" Target="https://avmu.mk/wp-content/uploads/2019/08/Upatstvo-za-priem-na-prijavi-od-ukazuvaci-1.pdf" TargetMode="External"/><Relationship Id="rId88" Type="http://schemas.openxmlformats.org/officeDocument/2006/relationships/hyperlink" Target="https://avmu.mk/wp-content/uploads/2019/08/Upatstvo-za-priem-na-prijavi-od-ukazuvaci-1.pdf" TargetMode="External"/><Relationship Id="rId91" Type="http://schemas.openxmlformats.org/officeDocument/2006/relationships/hyperlink" Target="https://avmu.mk/wp-content/uploads/2019/08/Upatstvo-za-priem-na-prijavi-od-ukazuvaci-1.pdf" TargetMode="External"/><Relationship Id="rId96" Type="http://schemas.openxmlformats.org/officeDocument/2006/relationships/hyperlink" Target="https://avmu.mk/wp-content/uploads/2019/08/Upatstvo-za-priem-na-prijavi-od-ukazuvaci-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vmu.mk/wp-content/uploads/2019/08/Upatstvo-za-priem-na-prijavi-od-ukazuvaci-1.pdf" TargetMode="External"/><Relationship Id="rId23" Type="http://schemas.openxmlformats.org/officeDocument/2006/relationships/hyperlink" Target="https://avmu.mk/wp-content/uploads/2019/08/Upatstvo-za-priem-na-prijavi-od-ukazuvaci-1.pdf" TargetMode="External"/><Relationship Id="rId28" Type="http://schemas.openxmlformats.org/officeDocument/2006/relationships/hyperlink" Target="https://avmu.mk/wp-content/uploads/2019/08/Upatstvo-za-priem-na-prijavi-od-ukazuvaci-1.pdf" TargetMode="External"/><Relationship Id="rId36" Type="http://schemas.openxmlformats.org/officeDocument/2006/relationships/hyperlink" Target="https://avmu.mk/wp-content/uploads/2019/08/Upatstvo-za-priem-na-prijavi-od-ukazuvaci-1.pdf" TargetMode="External"/><Relationship Id="rId49" Type="http://schemas.openxmlformats.org/officeDocument/2006/relationships/hyperlink" Target="https://avmu.mk/wp-content/uploads/2019/08/Upatstvo-za-priem-na-prijavi-od-ukazuvaci-1.pdf" TargetMode="External"/><Relationship Id="rId57" Type="http://schemas.openxmlformats.org/officeDocument/2006/relationships/hyperlink" Target="https://avmu.mk/wp-content/uploads/2019/08/Upatstvo-za-priem-na-prijavi-od-ukazuvaci-1.pdf" TargetMode="External"/><Relationship Id="rId106" Type="http://schemas.openxmlformats.org/officeDocument/2006/relationships/fontTable" Target="fontTable.xml"/><Relationship Id="rId10" Type="http://schemas.openxmlformats.org/officeDocument/2006/relationships/hyperlink" Target="https://avmu.mk/wp-content/uploads/2019/08/Upatstvo-za-priem-na-prijavi-od-ukazuvaci-1.pdf" TargetMode="External"/><Relationship Id="rId31" Type="http://schemas.openxmlformats.org/officeDocument/2006/relationships/hyperlink" Target="https://avmu.mk/wp-content/uploads/2019/08/Upatstvo-za-priem-na-prijavi-od-ukazuvaci-1.pdf" TargetMode="External"/><Relationship Id="rId44" Type="http://schemas.openxmlformats.org/officeDocument/2006/relationships/hyperlink" Target="https://avmu.mk/wp-content/uploads/2019/08/Upatstvo-za-priem-na-prijavi-od-ukazuvaci-1.pdf" TargetMode="External"/><Relationship Id="rId52" Type="http://schemas.openxmlformats.org/officeDocument/2006/relationships/hyperlink" Target="https://avmu.mk/wp-content/uploads/2019/08/Upatstvo-za-priem-na-prijavi-od-ukazuvaci-1.pdf" TargetMode="External"/><Relationship Id="rId60" Type="http://schemas.openxmlformats.org/officeDocument/2006/relationships/hyperlink" Target="https://avmu.mk/wp-content/uploads/2019/08/Upatstvo-za-priem-na-prijavi-od-ukazuvaci-1.pdf" TargetMode="External"/><Relationship Id="rId65" Type="http://schemas.openxmlformats.org/officeDocument/2006/relationships/hyperlink" Target="https://avmu.mk/wp-content/uploads/2019/08/Upatstvo-za-priem-na-prijavi-od-ukazuvaci-1.pdf" TargetMode="External"/><Relationship Id="rId73" Type="http://schemas.openxmlformats.org/officeDocument/2006/relationships/hyperlink" Target="https://avmu.mk/wp-content/uploads/2019/08/Upatstvo-za-priem-na-prijavi-od-ukazuvaci-1.pdf" TargetMode="External"/><Relationship Id="rId78" Type="http://schemas.openxmlformats.org/officeDocument/2006/relationships/hyperlink" Target="https://avmu.mk/wp-content/uploads/2019/08/Upatstvo-za-priem-na-prijavi-od-ukazuvaci-1.pdf" TargetMode="External"/><Relationship Id="rId81" Type="http://schemas.openxmlformats.org/officeDocument/2006/relationships/hyperlink" Target="https://avmu.mk/wp-content/uploads/2019/08/Upatstvo-za-priem-na-prijavi-od-ukazuvaci-1.pdf" TargetMode="External"/><Relationship Id="rId86" Type="http://schemas.openxmlformats.org/officeDocument/2006/relationships/hyperlink" Target="https://avmu.mk/wp-content/uploads/2019/08/Upatstvo-za-priem-na-prijavi-od-ukazuvaci-1.pdf" TargetMode="External"/><Relationship Id="rId94" Type="http://schemas.openxmlformats.org/officeDocument/2006/relationships/hyperlink" Target="https://avmu.mk/wp-content/uploads/2019/08/Upatstvo-za-priem-na-prijavi-od-ukazuvaci-1.pdf" TargetMode="External"/><Relationship Id="rId99" Type="http://schemas.openxmlformats.org/officeDocument/2006/relationships/hyperlink" Target="https://avmu.mk/wp-content/uploads/2019/08/Upatstvo-za-priem-na-prijavi-od-ukazuvaci-1.pdf"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vmu.mk/wp-content/uploads/2019/08/Upatstvo-za-priem-na-prijavi-od-ukazuvaci-1.pdf" TargetMode="External"/><Relationship Id="rId13" Type="http://schemas.openxmlformats.org/officeDocument/2006/relationships/hyperlink" Target="https://avmu.mk/wp-content/uploads/2019/08/Upatstvo-za-priem-na-prijavi-od-ukazuvaci-1.pdf" TargetMode="External"/><Relationship Id="rId18" Type="http://schemas.openxmlformats.org/officeDocument/2006/relationships/hyperlink" Target="https://avmu.mk/wp-content/uploads/2019/08/Upatstvo-za-priem-na-prijavi-od-ukazuvaci-1.pdf" TargetMode="External"/><Relationship Id="rId39" Type="http://schemas.openxmlformats.org/officeDocument/2006/relationships/hyperlink" Target="https://avmu.mk/wp-content/uploads/2019/08/Upatstvo-za-priem-na-prijavi-od-ukazuvaci-1.pdf" TargetMode="External"/><Relationship Id="rId34" Type="http://schemas.openxmlformats.org/officeDocument/2006/relationships/hyperlink" Target="https://avmu.mk/wp-content/uploads/2019/08/Upatstvo-za-priem-na-prijavi-od-ukazuvaci-1.pdf" TargetMode="External"/><Relationship Id="rId50" Type="http://schemas.openxmlformats.org/officeDocument/2006/relationships/hyperlink" Target="https://avmu.mk/wp-content/uploads/2019/08/Upatstvo-za-priem-na-prijavi-od-ukazuvaci-1.pdf" TargetMode="External"/><Relationship Id="rId55" Type="http://schemas.openxmlformats.org/officeDocument/2006/relationships/hyperlink" Target="https://avmu.mk/wp-content/uploads/2019/08/Upatstvo-za-priem-na-prijavi-od-ukazuvaci-1.pdf" TargetMode="External"/><Relationship Id="rId76" Type="http://schemas.openxmlformats.org/officeDocument/2006/relationships/hyperlink" Target="https://avmu.mk/wp-content/uploads/2019/08/Upatstvo-za-priem-na-prijavi-od-ukazuvaci-1.pdf" TargetMode="External"/><Relationship Id="rId97" Type="http://schemas.openxmlformats.org/officeDocument/2006/relationships/hyperlink" Target="https://avmu.mk/wp-content/uploads/2019/08/Upatstvo-za-priem-na-prijavi-od-ukazuvaci-1.pdf" TargetMode="External"/><Relationship Id="rId10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avmu.mk/wp-content/uploads/2019/08/Upatstvo-za-priem-na-prijavi-od-ukazuvaci-1.pdf" TargetMode="External"/><Relationship Id="rId92" Type="http://schemas.openxmlformats.org/officeDocument/2006/relationships/hyperlink" Target="https://avmu.mk/wp-content/uploads/2019/08/Upatstvo-za-priem-na-prijavi-od-ukazuvaci-1.pdf" TargetMode="External"/><Relationship Id="rId2" Type="http://schemas.openxmlformats.org/officeDocument/2006/relationships/numbering" Target="numbering.xml"/><Relationship Id="rId29" Type="http://schemas.openxmlformats.org/officeDocument/2006/relationships/hyperlink" Target="https://avmu.mk/wp-content/uploads/2019/08/Upatstvo-za-priem-na-prijavi-od-ukazuvaci-1.pdf" TargetMode="External"/><Relationship Id="rId24" Type="http://schemas.openxmlformats.org/officeDocument/2006/relationships/hyperlink" Target="https://avmu.mk/wp-content/uploads/2019/08/Upatstvo-za-priem-na-prijavi-od-ukazuvaci-1.pdf" TargetMode="External"/><Relationship Id="rId40" Type="http://schemas.openxmlformats.org/officeDocument/2006/relationships/hyperlink" Target="https://avmu.mk/wp-content/uploads/2019/08/Upatstvo-za-priem-na-prijavi-od-ukazuvaci-1.pdf" TargetMode="External"/><Relationship Id="rId45" Type="http://schemas.openxmlformats.org/officeDocument/2006/relationships/hyperlink" Target="https://avmu.mk/wp-content/uploads/2019/08/Upatstvo-za-priem-na-prijavi-od-ukazuvaci-1.pdf" TargetMode="External"/><Relationship Id="rId66" Type="http://schemas.openxmlformats.org/officeDocument/2006/relationships/hyperlink" Target="https://avmu.mk/wp-content/uploads/2019/08/Upatstvo-za-priem-na-prijavi-od-ukazuvaci-1.pdf" TargetMode="External"/><Relationship Id="rId87" Type="http://schemas.openxmlformats.org/officeDocument/2006/relationships/hyperlink" Target="https://avmu.mk/wp-content/uploads/2019/08/Upatstvo-za-priem-na-prijavi-od-ukazuvaci-1.pdf" TargetMode="External"/><Relationship Id="rId61" Type="http://schemas.openxmlformats.org/officeDocument/2006/relationships/hyperlink" Target="https://avmu.mk/wp-content/uploads/2019/08/Upatstvo-za-priem-na-prijavi-od-ukazuvaci-1.pdf" TargetMode="External"/><Relationship Id="rId82" Type="http://schemas.openxmlformats.org/officeDocument/2006/relationships/hyperlink" Target="https://avmu.mk/wp-content/uploads/2019/08/Upatstvo-za-priem-na-prijavi-od-ukazuvaci-1.pdf" TargetMode="External"/><Relationship Id="rId19" Type="http://schemas.openxmlformats.org/officeDocument/2006/relationships/hyperlink" Target="https://avmu.mk/wp-content/uploads/2019/08/Upatstvo-za-priem-na-prijavi-od-ukazuvaci-1.pdf" TargetMode="External"/><Relationship Id="rId14" Type="http://schemas.openxmlformats.org/officeDocument/2006/relationships/hyperlink" Target="https://avmu.mk/wp-content/uploads/2019/08/Upatstvo-za-priem-na-prijavi-od-ukazuvaci-1.pdf" TargetMode="External"/><Relationship Id="rId30" Type="http://schemas.openxmlformats.org/officeDocument/2006/relationships/hyperlink" Target="https://avmu.mk/wp-content/uploads/2019/08/Upatstvo-za-priem-na-prijavi-od-ukazuvaci-1.pdf" TargetMode="External"/><Relationship Id="rId35" Type="http://schemas.openxmlformats.org/officeDocument/2006/relationships/hyperlink" Target="https://avmu.mk/wp-content/uploads/2019/08/Upatstvo-za-priem-na-prijavi-od-ukazuvaci-1.pdf" TargetMode="External"/><Relationship Id="rId56" Type="http://schemas.openxmlformats.org/officeDocument/2006/relationships/hyperlink" Target="https://avmu.mk/wp-content/uploads/2019/08/Upatstvo-za-priem-na-prijavi-od-ukazuvaci-1.pdf" TargetMode="External"/><Relationship Id="rId77" Type="http://schemas.openxmlformats.org/officeDocument/2006/relationships/hyperlink" Target="https://avmu.mk/wp-content/uploads/2019/08/Upatstvo-za-priem-na-prijavi-od-ukazuvaci-1.pdf"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hyperlink" Target="https://web.archive.org/web/20230322130917/mailto:ukazuvaci@avmu.mk" TargetMode="External"/><Relationship Id="rId51" Type="http://schemas.openxmlformats.org/officeDocument/2006/relationships/hyperlink" Target="https://avmu.mk/wp-content/uploads/2019/08/Upatstvo-za-priem-na-prijavi-od-ukazuvaci-1.pdf" TargetMode="External"/><Relationship Id="rId72" Type="http://schemas.openxmlformats.org/officeDocument/2006/relationships/hyperlink" Target="https://avmu.mk/wp-content/uploads/2019/08/Upatstvo-za-priem-na-prijavi-od-ukazuvaci-1.pdf" TargetMode="External"/><Relationship Id="rId93" Type="http://schemas.openxmlformats.org/officeDocument/2006/relationships/hyperlink" Target="https://avmu.mk/wp-content/uploads/2019/08/Upatstvo-za-priem-na-prijavi-od-ukazuvaci-1.pdf" TargetMode="External"/><Relationship Id="rId98" Type="http://schemas.openxmlformats.org/officeDocument/2006/relationships/hyperlink" Target="https://avmu.mk/wp-content/uploads/2019/08/Upatstvo-za-priem-na-prijavi-od-ukazuvaci-1.pdf" TargetMode="External"/><Relationship Id="rId3" Type="http://schemas.openxmlformats.org/officeDocument/2006/relationships/styles" Target="styles.xml"/><Relationship Id="rId25" Type="http://schemas.openxmlformats.org/officeDocument/2006/relationships/hyperlink" Target="https://avmu.mk/wp-content/uploads/2019/08/Upatstvo-za-priem-na-prijavi-od-ukazuvaci-1.pdf" TargetMode="External"/><Relationship Id="rId46" Type="http://schemas.openxmlformats.org/officeDocument/2006/relationships/hyperlink" Target="https://avmu.mk/wp-content/uploads/2019/08/Upatstvo-za-priem-na-prijavi-od-ukazuvaci-1.pdf" TargetMode="External"/><Relationship Id="rId67" Type="http://schemas.openxmlformats.org/officeDocument/2006/relationships/hyperlink" Target="https://avmu.mk/wp-content/uploads/2019/08/Upatstvo-za-priem-na-prijavi-od-ukazuvaci-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17C87-B441-4D52-80E8-072C52F9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Pages>
  <Words>6343</Words>
  <Characters>36160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Parleeva</dc:creator>
  <cp:keywords/>
  <dc:description/>
  <cp:lastModifiedBy>Jeton Ismaili</cp:lastModifiedBy>
  <cp:revision>88</cp:revision>
  <cp:lastPrinted>2024-11-27T08:28:00Z</cp:lastPrinted>
  <dcterms:created xsi:type="dcterms:W3CDTF">2024-12-04T09:09:00Z</dcterms:created>
  <dcterms:modified xsi:type="dcterms:W3CDTF">2025-02-25T13:42:00Z</dcterms:modified>
</cp:coreProperties>
</file>