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11F" w:rsidRPr="00C37F9B" w:rsidRDefault="00000000" w:rsidP="00725337">
      <w:pPr>
        <w:autoSpaceDE w:val="0"/>
        <w:autoSpaceDN w:val="0"/>
        <w:adjustRightInd w:val="0"/>
        <w:ind w:left="-1" w:right="-97"/>
        <w:jc w:val="center"/>
        <w:rPr>
          <w:rFonts w:ascii="Arial Narrow" w:hAnsi="Arial Narrow" w:cs="Arial"/>
          <w:b/>
          <w:u w:val="single"/>
        </w:rPr>
      </w:pPr>
      <w:r>
        <w:rPr>
          <w:rFonts w:ascii="Arial Narrow" w:eastAsia="Arial Narrow" w:hAnsi="Arial Narrow" w:cs="Arial"/>
          <w:u w:val="single"/>
          <w:lang w:val="sq-AL"/>
        </w:rPr>
        <w:t xml:space="preserve"> </w:t>
      </w:r>
      <w:r w:rsidR="00952250">
        <w:rPr>
          <w:rFonts w:ascii="Arial Narrow" w:eastAsia="Arial Narrow" w:hAnsi="Arial Narrow" w:cs="Arial"/>
          <w:b/>
          <w:bCs/>
          <w:u w:val="single"/>
          <w:lang w:val="sq-AL"/>
        </w:rPr>
        <w:t>KOMUNIKIME AUDIOVIZUELE KOMERCIALE</w:t>
      </w:r>
      <w:r>
        <w:rPr>
          <w:rFonts w:ascii="Arial Narrow" w:eastAsia="Arial Narrow" w:hAnsi="Arial Narrow" w:cs="Arial"/>
          <w:b/>
          <w:bCs/>
          <w:u w:val="single"/>
          <w:lang w:val="sq-AL"/>
        </w:rPr>
        <w:t xml:space="preserve"> (REKLAMA, TELESHOPING, SPONZORIM, PLASIM PRODUKTET)</w:t>
      </w:r>
      <w:r>
        <w:rPr>
          <w:rFonts w:ascii="Arial Narrow" w:eastAsia="Arial Narrow" w:hAnsi="Arial Narrow" w:cs="Arial"/>
          <w:u w:val="single"/>
          <w:lang w:val="sq-AL"/>
        </w:rPr>
        <w:t xml:space="preserve"> </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10711F" w:rsidRDefault="00000000"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SI NDAREN </w:t>
      </w:r>
      <w:r w:rsidR="00952250">
        <w:rPr>
          <w:rFonts w:ascii="Arial Narrow" w:eastAsia="Arial Narrow" w:hAnsi="Arial Narrow" w:cs="Arial"/>
          <w:b/>
          <w:bCs/>
          <w:lang w:val="sq-AL"/>
        </w:rPr>
        <w:t xml:space="preserve">NDAHEN KOMUNIKIMET KOMERCIALE </w:t>
      </w:r>
      <w:r>
        <w:rPr>
          <w:rFonts w:ascii="Arial Narrow" w:eastAsia="Arial Narrow" w:hAnsi="Arial Narrow" w:cs="Arial"/>
          <w:b/>
          <w:bCs/>
          <w:lang w:val="sq-AL"/>
        </w:rPr>
        <w:t xml:space="preserve">NGA </w:t>
      </w:r>
      <w:r w:rsidR="00952250">
        <w:rPr>
          <w:rFonts w:ascii="Arial Narrow" w:eastAsia="Arial Narrow" w:hAnsi="Arial Narrow" w:cs="Arial"/>
          <w:b/>
          <w:bCs/>
          <w:lang w:val="sq-AL"/>
        </w:rPr>
        <w:t>PROGRAMA E MBETUR</w:t>
      </w:r>
      <w:r>
        <w:rPr>
          <w:rFonts w:ascii="Arial Narrow" w:eastAsia="Arial Narrow" w:hAnsi="Arial Narrow" w:cs="Arial"/>
          <w:b/>
          <w:bCs/>
          <w:lang w:val="sq-AL"/>
        </w:rPr>
        <w:t>?</w:t>
      </w:r>
    </w:p>
    <w:p w:rsidR="0010711F" w:rsidRDefault="0010711F" w:rsidP="0010711F">
      <w:pPr>
        <w:autoSpaceDE w:val="0"/>
        <w:autoSpaceDN w:val="0"/>
        <w:adjustRightInd w:val="0"/>
        <w:spacing w:after="0" w:line="240" w:lineRule="auto"/>
        <w:ind w:right="-97"/>
        <w:jc w:val="both"/>
        <w:rPr>
          <w:rFonts w:ascii="Arial Narrow" w:hAnsi="Arial Narrow" w:cs="Arial"/>
          <w:b/>
        </w:rPr>
      </w:pPr>
    </w:p>
    <w:p w:rsidR="0010711F"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Reklamimi dhe teleshopingu duhet të jenë qartësisht të identifikueshëm dhe të ndara nga pjesët e tjera të programit. Për të mos penguar përdorimin e teknikave të reja të reklamimit, përveç me mjete optike dhe/ose </w:t>
      </w:r>
      <w:r w:rsidR="007D3AC2">
        <w:rPr>
          <w:rFonts w:ascii="Arial Narrow" w:eastAsia="Arial Narrow" w:hAnsi="Arial Narrow" w:cs="Arial"/>
          <w:lang w:val="sq-AL"/>
        </w:rPr>
        <w:t>pjes</w:t>
      </w:r>
      <w:r w:rsidR="0004588C">
        <w:rPr>
          <w:rFonts w:ascii="Arial Narrow" w:eastAsia="Arial Narrow" w:hAnsi="Arial Narrow" w:cs="Arial"/>
          <w:lang w:val="sq-AL"/>
        </w:rPr>
        <w:t xml:space="preserve"> të </w:t>
      </w:r>
      <w:r w:rsidR="007D3AC2">
        <w:rPr>
          <w:rFonts w:ascii="Arial Narrow" w:eastAsia="Arial Narrow" w:hAnsi="Arial Narrow" w:cs="Arial"/>
          <w:lang w:val="sq-AL"/>
        </w:rPr>
        <w:t>zë</w:t>
      </w:r>
      <w:r w:rsidR="0004588C">
        <w:rPr>
          <w:rFonts w:ascii="Arial Narrow" w:eastAsia="Arial Narrow" w:hAnsi="Arial Narrow" w:cs="Arial"/>
          <w:lang w:val="sq-AL"/>
        </w:rPr>
        <w:t>shme</w:t>
      </w:r>
      <w:r>
        <w:rPr>
          <w:rFonts w:ascii="Arial Narrow" w:eastAsia="Arial Narrow" w:hAnsi="Arial Narrow" w:cs="Arial"/>
          <w:lang w:val="sq-AL"/>
        </w:rPr>
        <w:t xml:space="preserve">, reklamimi dhe teleshopingu mund të ndahen nga pjesët e tjera të programit dhe me mjete hapësinore.  </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10711F" w:rsidRDefault="00000000"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A KA NDONJE KUFIZIM </w:t>
      </w:r>
      <w:r w:rsidR="004D719A">
        <w:rPr>
          <w:rFonts w:ascii="Arial Narrow" w:eastAsia="Arial Narrow" w:hAnsi="Arial Narrow" w:cs="Arial"/>
          <w:b/>
          <w:bCs/>
          <w:lang w:val="sq-AL"/>
        </w:rPr>
        <w:t>OSE ËSHTË E LEJUAR TË REKLAMOHET E GJITHA DHE GJITHÇKA</w:t>
      </w:r>
      <w:r>
        <w:rPr>
          <w:rFonts w:ascii="Arial Narrow" w:eastAsia="Arial Narrow" w:hAnsi="Arial Narrow" w:cs="Arial"/>
          <w:b/>
          <w:bCs/>
          <w:lang w:val="sq-AL"/>
        </w:rPr>
        <w:t>?</w:t>
      </w:r>
    </w:p>
    <w:p w:rsidR="0010711F" w:rsidRDefault="0010711F" w:rsidP="0010711F">
      <w:pPr>
        <w:autoSpaceDE w:val="0"/>
        <w:autoSpaceDN w:val="0"/>
        <w:adjustRightInd w:val="0"/>
        <w:spacing w:after="0" w:line="240" w:lineRule="auto"/>
        <w:ind w:right="-97"/>
        <w:jc w:val="both"/>
        <w:rPr>
          <w:rFonts w:ascii="Arial Narrow" w:hAnsi="Arial Narrow" w:cs="Arial"/>
          <w:b/>
        </w:rPr>
      </w:pPr>
    </w:p>
    <w:p w:rsidR="0010711F"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Ligji parashikon disa kufizime dhe ndalime për transmetimin e komunikimeve komerciale audiovi</w:t>
      </w:r>
      <w:r w:rsidR="004D719A">
        <w:rPr>
          <w:rFonts w:ascii="Arial Narrow" w:eastAsia="Arial Narrow" w:hAnsi="Arial Narrow" w:cs="Arial"/>
          <w:lang w:val="sq-AL"/>
        </w:rPr>
        <w:t>zuele</w:t>
      </w:r>
      <w:r>
        <w:rPr>
          <w:rFonts w:ascii="Arial Narrow" w:eastAsia="Arial Narrow" w:hAnsi="Arial Narrow" w:cs="Arial"/>
          <w:lang w:val="sq-AL"/>
        </w:rPr>
        <w:t xml:space="preserve">. Kështu, komunikimet komerciale </w:t>
      </w:r>
      <w:r w:rsidR="004D719A">
        <w:rPr>
          <w:rFonts w:ascii="Arial Narrow" w:eastAsia="Arial Narrow" w:hAnsi="Arial Narrow" w:cs="Arial"/>
          <w:lang w:val="sq-AL"/>
        </w:rPr>
        <w:t>audiovizuele</w:t>
      </w:r>
      <w:r>
        <w:rPr>
          <w:rFonts w:ascii="Arial Narrow" w:eastAsia="Arial Narrow" w:hAnsi="Arial Narrow" w:cs="Arial"/>
          <w:lang w:val="sq-AL"/>
        </w:rPr>
        <w:t xml:space="preserve"> nuk duhet:</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Default="00000000"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Të vënë në dyshim respektin për dinjitetin njerëzor;</w:t>
      </w:r>
    </w:p>
    <w:p w:rsidR="0010711F" w:rsidRDefault="00000000"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Për të përfshirë ose promovuar diskriminimin mbi çdo bazë;</w:t>
      </w:r>
    </w:p>
    <w:p w:rsidR="0010711F" w:rsidRDefault="00000000"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Të inkurajojë sjellje që rrezikon ndjeshëm mjedisin;</w:t>
      </w:r>
    </w:p>
    <w:p w:rsidR="0010711F" w:rsidRDefault="00000000"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Për të promovuar drogën, cigaret ose produkte të tjera të duhanit, si dhe alkoolin dhe pijet alkoolike, përveç verës dhe birrës:</w:t>
      </w:r>
    </w:p>
    <w:p w:rsidR="0010711F" w:rsidRDefault="00000000"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Të promovojë produkte mjekësore dhe trajtime mjekësore që ofrohen vetëm me recetë;</w:t>
      </w:r>
    </w:p>
    <w:p w:rsidR="0010711F" w:rsidRDefault="00000000" w:rsidP="0010711F">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Të promovojë armët, </w:t>
      </w:r>
      <w:r w:rsidR="00DD131B">
        <w:rPr>
          <w:rFonts w:ascii="Arial Narrow" w:eastAsia="Arial Narrow" w:hAnsi="Arial Narrow" w:cs="Arial"/>
          <w:lang w:val="sq-AL"/>
        </w:rPr>
        <w:t>gjuajtje</w:t>
      </w:r>
      <w:r>
        <w:rPr>
          <w:rFonts w:ascii="Arial Narrow" w:eastAsia="Arial Narrow" w:hAnsi="Arial Narrow" w:cs="Arial"/>
          <w:lang w:val="sq-AL"/>
        </w:rPr>
        <w:t xml:space="preserve"> dhe mjete piroteknike dhe kompanitë që i shesin ato.</w:t>
      </w:r>
    </w:p>
    <w:p w:rsidR="0010711F" w:rsidRDefault="0010711F" w:rsidP="0010711F">
      <w:pPr>
        <w:autoSpaceDE w:val="0"/>
        <w:autoSpaceDN w:val="0"/>
        <w:adjustRightInd w:val="0"/>
        <w:spacing w:after="0" w:line="240" w:lineRule="auto"/>
        <w:ind w:left="360" w:right="-97"/>
        <w:jc w:val="both"/>
        <w:rPr>
          <w:rFonts w:ascii="Arial Narrow" w:hAnsi="Arial Narrow" w:cs="Arial"/>
        </w:rPr>
      </w:pPr>
    </w:p>
    <w:p w:rsidR="0010711F" w:rsidRDefault="0010711F" w:rsidP="0010711F">
      <w:pPr>
        <w:autoSpaceDE w:val="0"/>
        <w:autoSpaceDN w:val="0"/>
        <w:adjustRightInd w:val="0"/>
        <w:spacing w:after="0" w:line="240" w:lineRule="auto"/>
        <w:ind w:left="360" w:right="-97"/>
        <w:jc w:val="both"/>
        <w:rPr>
          <w:rFonts w:ascii="Arial Narrow" w:hAnsi="Arial Narrow" w:cs="Arial"/>
        </w:rPr>
      </w:pPr>
    </w:p>
    <w:p w:rsidR="0010711F" w:rsidRPr="0010711F" w:rsidRDefault="00000000"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A KA </w:t>
      </w:r>
      <w:r>
        <w:rPr>
          <w:rFonts w:ascii="Arial Narrow" w:eastAsia="Arial Narrow" w:hAnsi="Arial Narrow" w:cs="Arial"/>
          <w:lang w:val="sq-AL"/>
        </w:rPr>
        <w:t xml:space="preserve"> </w:t>
      </w:r>
      <w:r>
        <w:rPr>
          <w:rFonts w:ascii="Arial Narrow" w:eastAsia="Arial Narrow" w:hAnsi="Arial Narrow" w:cs="Arial"/>
          <w:b/>
          <w:bCs/>
          <w:lang w:val="sq-AL"/>
        </w:rPr>
        <w:t>RREGULLA TË VEÇANTA PËR MBROJTJEN E FËMIJËVE/TË MITURVE?</w:t>
      </w:r>
    </w:p>
    <w:p w:rsidR="0010711F" w:rsidRDefault="0010711F" w:rsidP="0010711F">
      <w:pPr>
        <w:autoSpaceDE w:val="0"/>
        <w:autoSpaceDN w:val="0"/>
        <w:adjustRightInd w:val="0"/>
        <w:spacing w:after="0" w:line="240" w:lineRule="auto"/>
        <w:ind w:right="-97"/>
        <w:jc w:val="both"/>
        <w:rPr>
          <w:rFonts w:ascii="Arial Narrow" w:hAnsi="Arial Narrow" w:cs="Arial"/>
          <w:b/>
        </w:rPr>
      </w:pPr>
    </w:p>
    <w:p w:rsidR="0010711F"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Edhe pse fëmijët dhe të miturit janë konsumatorë legjitimë, të cilët kanë të drejtë të shohin dhe të dëgjojnë se çfarë thonë reklamat, tregohet kujdes i veçantë që të mos i shkaktojnë dëme fizike apo morale. Kështu, komunikimet komerciale audiovizuale për verën dhe birrën nuk duhet të synojnë në mënyrë specifike të miturit, dhe në veçanti nuk duhet të përshkruajnë të mitur që i konsumojnë ato. Komunikimet komerciale </w:t>
      </w:r>
      <w:r w:rsidR="004D719A">
        <w:rPr>
          <w:rFonts w:ascii="Arial Narrow" w:eastAsia="Arial Narrow" w:hAnsi="Arial Narrow" w:cs="Arial"/>
          <w:lang w:val="sq-AL"/>
        </w:rPr>
        <w:t>audiovizuele</w:t>
      </w:r>
      <w:r>
        <w:rPr>
          <w:rFonts w:ascii="Arial Narrow" w:eastAsia="Arial Narrow" w:hAnsi="Arial Narrow" w:cs="Arial"/>
          <w:lang w:val="sq-AL"/>
        </w:rPr>
        <w:t xml:space="preserve"> drejtuar ose që përfshijnë të miturit nuk duhet të shfrytëzojnë papërvojën ose besueshmërinë e tyre për t'i bindur ata të blejnë ose marrin me qira një produkt ose shërbim, as të shfrytëzojnë besimin e veçantë që të miturit kanë te prindërit, mësuesit ose persona të tjerë.</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Komunikimet komerciale audiovizuale rreth ushqimeve dhe pijeve, marrja e tepërt e të cilave nuk rekomandohet, nuk duhet të sugjerojnë se disa ushqime janë zëvendësues të frutave dhe/ose perimeve dhe as të inkurajojnë </w:t>
      </w:r>
      <w:r w:rsidR="00F764D3">
        <w:rPr>
          <w:rFonts w:ascii="Arial Narrow" w:eastAsia="Arial Narrow" w:hAnsi="Arial Narrow" w:cs="Arial"/>
          <w:lang w:val="sq-AL"/>
        </w:rPr>
        <w:t>ushqime të caktuara</w:t>
      </w:r>
      <w:r>
        <w:rPr>
          <w:rFonts w:ascii="Arial Narrow" w:eastAsia="Arial Narrow" w:hAnsi="Arial Narrow" w:cs="Arial"/>
          <w:lang w:val="sq-AL"/>
        </w:rPr>
        <w:t xml:space="preserve"> jo të shëndetshme të të ngrënit dhe të pirit.</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10711F" w:rsidRDefault="00000000"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 NË CILAT PROGRAME NUK LEJOHET REKLAMA DHE TELESH</w:t>
      </w:r>
      <w:r w:rsidR="009D76A2">
        <w:rPr>
          <w:rFonts w:ascii="Arial Narrow" w:eastAsia="Arial Narrow" w:hAnsi="Arial Narrow" w:cs="Arial"/>
          <w:b/>
          <w:bCs/>
          <w:lang w:val="sq-AL"/>
        </w:rPr>
        <w:t>OPINGU</w:t>
      </w:r>
      <w:r>
        <w:rPr>
          <w:rFonts w:ascii="Arial Narrow" w:eastAsia="Arial Narrow" w:hAnsi="Arial Narrow" w:cs="Arial"/>
          <w:b/>
          <w:bCs/>
          <w:lang w:val="sq-AL"/>
        </w:rPr>
        <w:t>?</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Reklamat dhe teleshoping nuk mund të transmetohen në programe për fëmijë kohëzgjatja e të cilave është e barabartë ose më e shkurtër se 30 minuta; në shërb</w:t>
      </w:r>
      <w:r w:rsidR="00012BA8">
        <w:rPr>
          <w:rFonts w:ascii="Arial Narrow" w:eastAsia="Arial Narrow" w:hAnsi="Arial Narrow" w:cs="Arial"/>
          <w:lang w:val="sq-AL"/>
        </w:rPr>
        <w:t>imet</w:t>
      </w:r>
      <w:r>
        <w:rPr>
          <w:rFonts w:ascii="Arial Narrow" w:eastAsia="Arial Narrow" w:hAnsi="Arial Narrow" w:cs="Arial"/>
          <w:lang w:val="sq-AL"/>
        </w:rPr>
        <w:t xml:space="preserve"> apo predikimet fetare dhe në programet radio jofitimprurëse.</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10711F" w:rsidRDefault="00000000"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SA ËSHTË KOHËZGJATJA E LEJUAR E REKLAMAVE GJATË NJË ORË?</w:t>
      </w:r>
    </w:p>
    <w:p w:rsidR="0010711F" w:rsidRDefault="0010711F" w:rsidP="0010711F">
      <w:pPr>
        <w:autoSpaceDE w:val="0"/>
        <w:autoSpaceDN w:val="0"/>
        <w:adjustRightInd w:val="0"/>
        <w:spacing w:after="0" w:line="240" w:lineRule="auto"/>
        <w:ind w:right="-97"/>
        <w:jc w:val="both"/>
        <w:rPr>
          <w:rFonts w:ascii="Arial Narrow" w:hAnsi="Arial Narrow" w:cs="Arial"/>
          <w:b/>
        </w:rPr>
      </w:pPr>
    </w:p>
    <w:p w:rsidR="0010711F"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Kohëzgjatja e spoteve reklamuese dhe teleshoping në programet komerciale radiotelevizive nuk duhet të kalojë 12 minuta në orë. </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FC7ACB"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Kohëzgjatja e reklamimit në Radio Televizionin Maqedonas nuk mund të jetë më shumë se 8 minuta në një orë reale.</w:t>
      </w: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Default="0010711F" w:rsidP="0010711F">
      <w:pPr>
        <w:autoSpaceDE w:val="0"/>
        <w:autoSpaceDN w:val="0"/>
        <w:adjustRightInd w:val="0"/>
        <w:spacing w:after="0" w:line="240" w:lineRule="auto"/>
        <w:ind w:right="-97"/>
        <w:jc w:val="both"/>
        <w:rPr>
          <w:rFonts w:ascii="Arial Narrow" w:hAnsi="Arial Narrow" w:cs="Arial"/>
        </w:rPr>
      </w:pPr>
    </w:p>
    <w:p w:rsidR="0010711F" w:rsidRPr="0010711F" w:rsidRDefault="00000000" w:rsidP="0010711F">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A KA KUFIZIM GJUHËSOR </w:t>
      </w:r>
      <w:r w:rsidR="00012BA8">
        <w:rPr>
          <w:rFonts w:ascii="Arial Narrow" w:eastAsia="Arial Narrow" w:hAnsi="Arial Narrow" w:cs="Arial"/>
          <w:b/>
          <w:bCs/>
          <w:lang w:val="sq-AL"/>
        </w:rPr>
        <w:t>GJATË TRANSMETIMIT TË KOMUNIKIMEVE KOMERCIALE AUDIOVIZUELE</w:t>
      </w:r>
      <w:r>
        <w:rPr>
          <w:rFonts w:ascii="Arial Narrow" w:eastAsia="Arial Narrow" w:hAnsi="Arial Narrow" w:cs="Arial"/>
          <w:b/>
          <w:bCs/>
          <w:lang w:val="sq-AL"/>
        </w:rPr>
        <w:t xml:space="preserve">? </w:t>
      </w:r>
    </w:p>
    <w:p w:rsidR="0010711F" w:rsidRDefault="0010711F" w:rsidP="0010711F">
      <w:pPr>
        <w:autoSpaceDE w:val="0"/>
        <w:autoSpaceDN w:val="0"/>
        <w:adjustRightInd w:val="0"/>
        <w:spacing w:after="0" w:line="240" w:lineRule="auto"/>
        <w:ind w:left="360" w:right="-97"/>
        <w:jc w:val="both"/>
        <w:rPr>
          <w:rFonts w:ascii="Arial Narrow" w:hAnsi="Arial Narrow" w:cs="Arial"/>
        </w:rPr>
      </w:pPr>
    </w:p>
    <w:p w:rsidR="0010711F" w:rsidRPr="007D517D" w:rsidRDefault="00000000" w:rsidP="0010711F">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Komunikimet komerciale audiovizuele duhet të transmetohen në gjuhën maqedonase, përkatësisht në gjuhën e bashkësisë etnike për të cilën është dedikuar shërbimi programor.</w:t>
      </w:r>
    </w:p>
    <w:p w:rsidR="0010711F" w:rsidRPr="00E75B68" w:rsidRDefault="0010711F" w:rsidP="0010711F">
      <w:pPr>
        <w:autoSpaceDE w:val="0"/>
        <w:autoSpaceDN w:val="0"/>
        <w:adjustRightInd w:val="0"/>
        <w:ind w:left="-916" w:right="-97"/>
        <w:jc w:val="both"/>
        <w:rPr>
          <w:rFonts w:ascii="Arial Narrow" w:hAnsi="Arial Narrow" w:cs="Arial"/>
          <w:b/>
        </w:rPr>
      </w:pPr>
    </w:p>
    <w:sectPr w:rsidR="0010711F" w:rsidRPr="00E75B68" w:rsidSect="00E54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647F"/>
    <w:multiLevelType w:val="hybridMultilevel"/>
    <w:tmpl w:val="C19068DC"/>
    <w:lvl w:ilvl="0" w:tplc="338A828A">
      <w:start w:val="1"/>
      <w:numFmt w:val="decimal"/>
      <w:lvlText w:val="%1."/>
      <w:lvlJc w:val="left"/>
      <w:pPr>
        <w:ind w:left="720" w:hanging="360"/>
      </w:pPr>
      <w:rPr>
        <w:rFonts w:hint="default"/>
      </w:rPr>
    </w:lvl>
    <w:lvl w:ilvl="1" w:tplc="8514B8A2" w:tentative="1">
      <w:start w:val="1"/>
      <w:numFmt w:val="lowerLetter"/>
      <w:lvlText w:val="%2."/>
      <w:lvlJc w:val="left"/>
      <w:pPr>
        <w:ind w:left="1440" w:hanging="360"/>
      </w:pPr>
    </w:lvl>
    <w:lvl w:ilvl="2" w:tplc="A9B2B35C" w:tentative="1">
      <w:start w:val="1"/>
      <w:numFmt w:val="lowerRoman"/>
      <w:lvlText w:val="%3."/>
      <w:lvlJc w:val="right"/>
      <w:pPr>
        <w:ind w:left="2160" w:hanging="180"/>
      </w:pPr>
    </w:lvl>
    <w:lvl w:ilvl="3" w:tplc="88A6BA18" w:tentative="1">
      <w:start w:val="1"/>
      <w:numFmt w:val="decimal"/>
      <w:lvlText w:val="%4."/>
      <w:lvlJc w:val="left"/>
      <w:pPr>
        <w:ind w:left="2880" w:hanging="360"/>
      </w:pPr>
    </w:lvl>
    <w:lvl w:ilvl="4" w:tplc="BE30C664" w:tentative="1">
      <w:start w:val="1"/>
      <w:numFmt w:val="lowerLetter"/>
      <w:lvlText w:val="%5."/>
      <w:lvlJc w:val="left"/>
      <w:pPr>
        <w:ind w:left="3600" w:hanging="360"/>
      </w:pPr>
    </w:lvl>
    <w:lvl w:ilvl="5" w:tplc="7646D968" w:tentative="1">
      <w:start w:val="1"/>
      <w:numFmt w:val="lowerRoman"/>
      <w:lvlText w:val="%6."/>
      <w:lvlJc w:val="right"/>
      <w:pPr>
        <w:ind w:left="4320" w:hanging="180"/>
      </w:pPr>
    </w:lvl>
    <w:lvl w:ilvl="6" w:tplc="0B16BFC0" w:tentative="1">
      <w:start w:val="1"/>
      <w:numFmt w:val="decimal"/>
      <w:lvlText w:val="%7."/>
      <w:lvlJc w:val="left"/>
      <w:pPr>
        <w:ind w:left="5040" w:hanging="360"/>
      </w:pPr>
    </w:lvl>
    <w:lvl w:ilvl="7" w:tplc="CA188E40" w:tentative="1">
      <w:start w:val="1"/>
      <w:numFmt w:val="lowerLetter"/>
      <w:lvlText w:val="%8."/>
      <w:lvlJc w:val="left"/>
      <w:pPr>
        <w:ind w:left="5760" w:hanging="360"/>
      </w:pPr>
    </w:lvl>
    <w:lvl w:ilvl="8" w:tplc="A844C5D6" w:tentative="1">
      <w:start w:val="1"/>
      <w:numFmt w:val="lowerRoman"/>
      <w:lvlText w:val="%9."/>
      <w:lvlJc w:val="right"/>
      <w:pPr>
        <w:ind w:left="6480" w:hanging="180"/>
      </w:pPr>
    </w:lvl>
  </w:abstractNum>
  <w:abstractNum w:abstractNumId="1" w15:restartNumberingAfterBreak="0">
    <w:nsid w:val="07A44B24"/>
    <w:multiLevelType w:val="hybridMultilevel"/>
    <w:tmpl w:val="167CDC30"/>
    <w:lvl w:ilvl="0" w:tplc="62D4E110">
      <w:start w:val="1"/>
      <w:numFmt w:val="bullet"/>
      <w:lvlText w:val="-"/>
      <w:lvlJc w:val="left"/>
      <w:pPr>
        <w:ind w:left="360" w:hanging="360"/>
      </w:pPr>
      <w:rPr>
        <w:rFonts w:ascii="Calibri" w:eastAsia="Times New Roman" w:hAnsi="Calibri" w:cs="Arial" w:hint="default"/>
      </w:rPr>
    </w:lvl>
    <w:lvl w:ilvl="1" w:tplc="C6A43D78" w:tentative="1">
      <w:start w:val="1"/>
      <w:numFmt w:val="bullet"/>
      <w:lvlText w:val="o"/>
      <w:lvlJc w:val="left"/>
      <w:pPr>
        <w:ind w:left="1080" w:hanging="360"/>
      </w:pPr>
      <w:rPr>
        <w:rFonts w:ascii="Courier New" w:hAnsi="Courier New" w:cs="Courier New" w:hint="default"/>
      </w:rPr>
    </w:lvl>
    <w:lvl w:ilvl="2" w:tplc="8A9AD4C8" w:tentative="1">
      <w:start w:val="1"/>
      <w:numFmt w:val="bullet"/>
      <w:lvlText w:val=""/>
      <w:lvlJc w:val="left"/>
      <w:pPr>
        <w:ind w:left="1800" w:hanging="360"/>
      </w:pPr>
      <w:rPr>
        <w:rFonts w:ascii="Wingdings" w:hAnsi="Wingdings" w:hint="default"/>
      </w:rPr>
    </w:lvl>
    <w:lvl w:ilvl="3" w:tplc="ABD8227A" w:tentative="1">
      <w:start w:val="1"/>
      <w:numFmt w:val="bullet"/>
      <w:lvlText w:val=""/>
      <w:lvlJc w:val="left"/>
      <w:pPr>
        <w:ind w:left="2520" w:hanging="360"/>
      </w:pPr>
      <w:rPr>
        <w:rFonts w:ascii="Symbol" w:hAnsi="Symbol" w:hint="default"/>
      </w:rPr>
    </w:lvl>
    <w:lvl w:ilvl="4" w:tplc="15248A3A" w:tentative="1">
      <w:start w:val="1"/>
      <w:numFmt w:val="bullet"/>
      <w:lvlText w:val="o"/>
      <w:lvlJc w:val="left"/>
      <w:pPr>
        <w:ind w:left="3240" w:hanging="360"/>
      </w:pPr>
      <w:rPr>
        <w:rFonts w:ascii="Courier New" w:hAnsi="Courier New" w:cs="Courier New" w:hint="default"/>
      </w:rPr>
    </w:lvl>
    <w:lvl w:ilvl="5" w:tplc="59742F7E" w:tentative="1">
      <w:start w:val="1"/>
      <w:numFmt w:val="bullet"/>
      <w:lvlText w:val=""/>
      <w:lvlJc w:val="left"/>
      <w:pPr>
        <w:ind w:left="3960" w:hanging="360"/>
      </w:pPr>
      <w:rPr>
        <w:rFonts w:ascii="Wingdings" w:hAnsi="Wingdings" w:hint="default"/>
      </w:rPr>
    </w:lvl>
    <w:lvl w:ilvl="6" w:tplc="849A703A" w:tentative="1">
      <w:start w:val="1"/>
      <w:numFmt w:val="bullet"/>
      <w:lvlText w:val=""/>
      <w:lvlJc w:val="left"/>
      <w:pPr>
        <w:ind w:left="4680" w:hanging="360"/>
      </w:pPr>
      <w:rPr>
        <w:rFonts w:ascii="Symbol" w:hAnsi="Symbol" w:hint="default"/>
      </w:rPr>
    </w:lvl>
    <w:lvl w:ilvl="7" w:tplc="C194C160" w:tentative="1">
      <w:start w:val="1"/>
      <w:numFmt w:val="bullet"/>
      <w:lvlText w:val="o"/>
      <w:lvlJc w:val="left"/>
      <w:pPr>
        <w:ind w:left="5400" w:hanging="360"/>
      </w:pPr>
      <w:rPr>
        <w:rFonts w:ascii="Courier New" w:hAnsi="Courier New" w:cs="Courier New" w:hint="default"/>
      </w:rPr>
    </w:lvl>
    <w:lvl w:ilvl="8" w:tplc="1C52E6BE" w:tentative="1">
      <w:start w:val="1"/>
      <w:numFmt w:val="bullet"/>
      <w:lvlText w:val=""/>
      <w:lvlJc w:val="left"/>
      <w:pPr>
        <w:ind w:left="6120" w:hanging="360"/>
      </w:pPr>
      <w:rPr>
        <w:rFonts w:ascii="Wingdings" w:hAnsi="Wingdings" w:hint="default"/>
      </w:rPr>
    </w:lvl>
  </w:abstractNum>
  <w:num w:numId="1" w16cid:durableId="1208878263">
    <w:abstractNumId w:val="1"/>
  </w:num>
  <w:num w:numId="2" w16cid:durableId="188948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711F"/>
    <w:rsid w:val="00012BA8"/>
    <w:rsid w:val="0004588C"/>
    <w:rsid w:val="00105F3C"/>
    <w:rsid w:val="0010711F"/>
    <w:rsid w:val="0034712F"/>
    <w:rsid w:val="004613B4"/>
    <w:rsid w:val="004D719A"/>
    <w:rsid w:val="004E4176"/>
    <w:rsid w:val="006019FF"/>
    <w:rsid w:val="00725337"/>
    <w:rsid w:val="007D3AC2"/>
    <w:rsid w:val="007D517D"/>
    <w:rsid w:val="00952250"/>
    <w:rsid w:val="009D76A2"/>
    <w:rsid w:val="00AE4181"/>
    <w:rsid w:val="00C37F9B"/>
    <w:rsid w:val="00DD131B"/>
    <w:rsid w:val="00E54F64"/>
    <w:rsid w:val="00E75B68"/>
    <w:rsid w:val="00F764D3"/>
    <w:rsid w:val="00FC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762C"/>
  <w15:docId w15:val="{A03491BE-5639-4BB1-8531-5B9F0E8D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44"/>
        <w:szCs w:val="4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1F"/>
    <w:rPr>
      <w:rFonts w:ascii="Calibri" w:eastAsia="Calibri" w:hAnsi="Calibri" w:cs="Times New Roman"/>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458</Words>
  <Characters>2617</Characters>
  <Application>Microsoft Office Word</Application>
  <DocSecurity>0</DocSecurity>
  <Lines>21</Lines>
  <Paragraphs>6</Paragraphs>
  <ScaleCrop>false</ScaleCrop>
  <Company>srd</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j.ismaili</dc:creator>
  <cp:lastModifiedBy>Jeton Ismaili</cp:lastModifiedBy>
  <cp:revision>11</cp:revision>
  <dcterms:created xsi:type="dcterms:W3CDTF">2015-12-03T12:27:00Z</dcterms:created>
  <dcterms:modified xsi:type="dcterms:W3CDTF">2022-12-12T11:13:00Z</dcterms:modified>
</cp:coreProperties>
</file>