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1B5E" w:rsidRDefault="00000000" w:rsidP="00641B5E">
      <w:pPr>
        <w:autoSpaceDE w:val="0"/>
        <w:autoSpaceDN w:val="0"/>
        <w:adjustRightInd w:val="0"/>
        <w:ind w:right="-97"/>
        <w:jc w:val="center"/>
        <w:rPr>
          <w:rFonts w:ascii="Arial Narrow" w:hAnsi="Arial Narrow" w:cs="Arial"/>
          <w:b/>
          <w:color w:val="000000"/>
          <w:sz w:val="24"/>
          <w:u w:val="single"/>
        </w:rPr>
      </w:pPr>
      <w:r>
        <w:rPr>
          <w:rFonts w:ascii="Arial Narrow" w:eastAsia="Arial Narrow" w:hAnsi="Arial Narrow" w:cs="Arial"/>
          <w:color w:val="000000"/>
          <w:sz w:val="24"/>
          <w:szCs w:val="24"/>
          <w:u w:val="single"/>
          <w:lang w:val="sq-AL"/>
        </w:rPr>
        <w:t xml:space="preserve"> </w:t>
      </w:r>
      <w:r>
        <w:rPr>
          <w:rFonts w:ascii="Arial Narrow" w:eastAsia="Arial Narrow" w:hAnsi="Arial Narrow" w:cs="Arial"/>
          <w:b/>
          <w:bCs/>
          <w:color w:val="000000"/>
          <w:sz w:val="24"/>
          <w:szCs w:val="24"/>
          <w:u w:val="single"/>
          <w:lang w:val="sq-AL"/>
        </w:rPr>
        <w:t>MBROJTJA E AUDIENCËS SË MITUR</w:t>
      </w:r>
      <w:r>
        <w:rPr>
          <w:rFonts w:ascii="Arial Narrow" w:eastAsia="Arial Narrow" w:hAnsi="Arial Narrow" w:cs="Arial"/>
          <w:color w:val="000000"/>
          <w:sz w:val="24"/>
          <w:szCs w:val="24"/>
          <w:u w:val="single"/>
          <w:lang w:val="sq-AL"/>
        </w:rPr>
        <w:t xml:space="preserve"> </w:t>
      </w:r>
    </w:p>
    <w:p w:rsidR="00641B5E" w:rsidRPr="007D517D" w:rsidRDefault="00641B5E" w:rsidP="00641B5E">
      <w:pPr>
        <w:pBdr>
          <w:top w:val="single" w:sz="4" w:space="1" w:color="auto"/>
          <w:left w:val="single" w:sz="4" w:space="4" w:color="auto"/>
          <w:bottom w:val="single" w:sz="4" w:space="1" w:color="auto"/>
          <w:right w:val="single" w:sz="4" w:space="4" w:color="auto"/>
        </w:pBdr>
        <w:shd w:val="clear" w:color="auto" w:fill="C4BC96"/>
        <w:autoSpaceDE w:val="0"/>
        <w:autoSpaceDN w:val="0"/>
        <w:adjustRightInd w:val="0"/>
        <w:ind w:right="-97"/>
        <w:jc w:val="both"/>
        <w:rPr>
          <w:rFonts w:ascii="Arial Narrow" w:hAnsi="Arial Narrow" w:cs="Arial"/>
          <w:b/>
          <w:color w:val="000000"/>
          <w:sz w:val="24"/>
          <w:u w:val="single"/>
        </w:rPr>
      </w:pPr>
    </w:p>
    <w:p w:rsidR="00641B5E" w:rsidRPr="007D517D" w:rsidRDefault="00000000" w:rsidP="00641B5E">
      <w:pPr>
        <w:pBdr>
          <w:top w:val="single" w:sz="4" w:space="1" w:color="auto"/>
          <w:left w:val="single" w:sz="4" w:space="4" w:color="auto"/>
          <w:bottom w:val="single" w:sz="4" w:space="1" w:color="auto"/>
          <w:right w:val="single" w:sz="4" w:space="4" w:color="auto"/>
        </w:pBdr>
        <w:shd w:val="clear" w:color="auto" w:fill="C4BC96"/>
        <w:autoSpaceDE w:val="0"/>
        <w:autoSpaceDN w:val="0"/>
        <w:adjustRightInd w:val="0"/>
        <w:ind w:right="-97"/>
        <w:jc w:val="both"/>
        <w:rPr>
          <w:rFonts w:ascii="Arial Narrow" w:hAnsi="Arial Narrow" w:cs="Arial"/>
          <w:b/>
          <w:color w:val="000000"/>
          <w:sz w:val="24"/>
          <w:u w:val="single"/>
        </w:rPr>
      </w:pPr>
      <w:r>
        <w:rPr>
          <w:rFonts w:ascii="Arial Narrow" w:hAnsi="Arial Narrow" w:cs="Arial"/>
          <w:b/>
          <w:noProof/>
          <w:color w:val="000000"/>
          <w:sz w:val="24"/>
          <w:u w:val="single"/>
          <w:lang w:val="en-US"/>
        </w:rPr>
        <w:drawing>
          <wp:inline distT="0" distB="0" distL="0" distR="0">
            <wp:extent cx="990600" cy="1009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07388" name="Picture 1"/>
                    <pic:cNvPicPr>
                      <a:picLocks noChangeAspect="1" noChangeArrowheads="1"/>
                    </pic:cNvPicPr>
                  </pic:nvPicPr>
                  <pic:blipFill>
                    <a:blip r:embed="rId5" cstate="print"/>
                    <a:stretch>
                      <a:fillRect/>
                    </a:stretch>
                  </pic:blipFill>
                  <pic:spPr bwMode="auto">
                    <a:xfrm>
                      <a:off x="0" y="0"/>
                      <a:ext cx="990600" cy="1009650"/>
                    </a:xfrm>
                    <a:prstGeom prst="rect">
                      <a:avLst/>
                    </a:prstGeom>
                    <a:noFill/>
                    <a:ln w="9525">
                      <a:noFill/>
                      <a:miter lim="800000"/>
                      <a:headEnd/>
                      <a:tailEnd/>
                    </a:ln>
                  </pic:spPr>
                </pic:pic>
              </a:graphicData>
            </a:graphic>
          </wp:inline>
        </w:drawing>
      </w:r>
      <w:r w:rsidRPr="007D517D">
        <w:rPr>
          <w:rFonts w:ascii="Arial Narrow" w:hAnsi="Arial Narrow"/>
          <w:noProof/>
          <w:lang w:val="en-US"/>
        </w:rPr>
        <w:t xml:space="preserve"> </w:t>
      </w:r>
      <w:r w:rsidRPr="007D517D">
        <w:rPr>
          <w:rFonts w:ascii="Arial Narrow" w:hAnsi="Arial Narrow"/>
          <w:noProof/>
        </w:rPr>
        <w:t xml:space="preserve">   </w:t>
      </w:r>
      <w:r>
        <w:rPr>
          <w:rFonts w:ascii="Arial Narrow" w:hAnsi="Arial Narrow" w:cs="Arial"/>
          <w:b/>
          <w:noProof/>
          <w:color w:val="000000"/>
          <w:sz w:val="24"/>
          <w:u w:val="single"/>
          <w:lang w:val="en-US"/>
        </w:rPr>
        <w:drawing>
          <wp:inline distT="0" distB="0" distL="0" distR="0">
            <wp:extent cx="1133475" cy="1009650"/>
            <wp:effectExtent l="0" t="0" r="0" b="0"/>
            <wp:docPr id="2" name="Object 2"/>
            <wp:cNvGraphicFramePr/>
            <a:graphic xmlns:a="http://schemas.openxmlformats.org/drawingml/2006/main">
              <a:graphicData uri="http://schemas.openxmlformats.org/drawingml/2006/lockedCanvas">
                <lc:lockedCanvas xmlns:lc="http://schemas.openxmlformats.org/drawingml/2006/lockedCanvas">
                  <a:nvGrpSpPr>
                    <a:cNvPr id="1731269910" name=""/>
                    <a:cNvGrpSpPr/>
                  </a:nvGrpSpPr>
                  <a:grpSpPr>
                    <a:xfrm>
                      <a:off x="0" y="0"/>
                      <a:ext cx="2520280" cy="2441522"/>
                      <a:chOff x="3419872" y="2852936"/>
                      <a:chExt cx="2520280" cy="2441522"/>
                    </a:xfrm>
                  </a:grpSpPr>
                  <a:grpSp>
                    <a:nvGrpSpPr>
                      <a:cNvPr id="16" name="Group 15"/>
                      <a:cNvGrpSpPr/>
                    </a:nvGrpSpPr>
                    <a:grpSpPr>
                      <a:xfrm>
                        <a:off x="3419872" y="2852936"/>
                        <a:ext cx="2520280" cy="2441522"/>
                        <a:chOff x="3419872" y="2852936"/>
                        <a:chExt cx="2520280" cy="2441522"/>
                      </a:xfrm>
                    </a:grpSpPr>
                    <a:pic>
                      <a:nvPicPr>
                        <a:cNvPr id="5" name="Picture 5"/>
                        <a:cNvPicPr>
                          <a:picLocks noChangeAspect="1" noChangeArrowheads="1"/>
                        </a:cNvPicPr>
                      </a:nvPicPr>
                      <a:blipFill>
                        <a:blip r:embed="rId6" cstate="print"/>
                        <a:stretch>
                          <a:fillRect/>
                        </a:stretch>
                      </a:blipFill>
                      <a:spPr bwMode="auto">
                        <a:xfrm>
                          <a:off x="3419872" y="2852936"/>
                          <a:ext cx="2520280" cy="2441522"/>
                        </a:xfrm>
                        <a:prstGeom prst="rect">
                          <a:avLst/>
                        </a:prstGeom>
                        <a:noFill/>
                        <a:ln w="9525">
                          <a:noFill/>
                          <a:miter lim="800000"/>
                          <a:headEnd/>
                          <a:tailEnd/>
                        </a:ln>
                      </a:spPr>
                    </a:pic>
                    <a:sp>
                      <a:nvSpPr>
                        <a:cNvPr id="15" name="TextBox 14"/>
                        <a:cNvSpPr txBox="1"/>
                      </a:nvSpPr>
                      <a:spPr>
                        <a:xfrm>
                          <a:off x="4283968" y="3573016"/>
                          <a:ext cx="792088" cy="584775"/>
                        </a:xfrm>
                        <a:prstGeom prst="rect">
                          <a:avLst/>
                        </a:prstGeom>
                        <a:noFill/>
                      </a:spPr>
                      <a:txSp>
                        <a:txBody>
                          <a:bodyPr wrap="square" rtlCol="0">
                            <a:spAutoFit/>
                          </a:bodyPr>
                          <a:lstStyle>
                            <a:defPPr>
                              <a:defRPr lang="mk-MK"/>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3200" b="1" dirty="0" smtClean="0">
                                <a:latin typeface="Calibri" pitchFamily="34" charset="0"/>
                              </a:rPr>
                              <a:t>8+</a:t>
                            </a:r>
                            <a:endParaRPr lang="en-US" sz="3200" b="1" dirty="0">
                              <a:latin typeface="Calibri" pitchFamily="34" charset="0"/>
                            </a:endParaRPr>
                          </a:p>
                        </a:txBody>
                        <a:useSpRect/>
                      </a:txSp>
                    </a:sp>
                  </a:grpSp>
                </lc:lockedCanvas>
              </a:graphicData>
            </a:graphic>
          </wp:inline>
        </w:drawing>
      </w:r>
      <w:r w:rsidRPr="007D517D">
        <w:rPr>
          <w:rFonts w:ascii="Arial Narrow" w:hAnsi="Arial Narrow"/>
          <w:noProof/>
          <w:lang w:val="en-US"/>
        </w:rPr>
        <w:t xml:space="preserve"> </w:t>
      </w:r>
      <w:r w:rsidRPr="007D517D">
        <w:rPr>
          <w:rFonts w:ascii="Arial Narrow" w:hAnsi="Arial Narrow"/>
          <w:noProof/>
        </w:rPr>
        <w:t xml:space="preserve">  </w:t>
      </w:r>
      <w:r>
        <w:rPr>
          <w:rFonts w:ascii="Arial Narrow" w:hAnsi="Arial Narrow" w:cs="Arial"/>
          <w:b/>
          <w:noProof/>
          <w:color w:val="000000"/>
          <w:sz w:val="24"/>
          <w:u w:val="single"/>
          <w:lang w:val="en-US"/>
        </w:rPr>
        <w:drawing>
          <wp:inline distT="0" distB="0" distL="0" distR="0">
            <wp:extent cx="97155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33055" name="Picture 3"/>
                    <pic:cNvPicPr>
                      <a:picLocks noChangeAspect="1" noChangeArrowheads="1"/>
                    </pic:cNvPicPr>
                  </pic:nvPicPr>
                  <pic:blipFill>
                    <a:blip r:embed="rId7" cstate="print"/>
                    <a:stretch>
                      <a:fillRect/>
                    </a:stretch>
                  </pic:blipFill>
                  <pic:spPr bwMode="auto">
                    <a:xfrm>
                      <a:off x="0" y="0"/>
                      <a:ext cx="971550" cy="876300"/>
                    </a:xfrm>
                    <a:prstGeom prst="rect">
                      <a:avLst/>
                    </a:prstGeom>
                    <a:noFill/>
                    <a:ln w="9525">
                      <a:noFill/>
                      <a:miter lim="800000"/>
                      <a:headEnd/>
                      <a:tailEnd/>
                    </a:ln>
                  </pic:spPr>
                </pic:pic>
              </a:graphicData>
            </a:graphic>
          </wp:inline>
        </w:drawing>
      </w:r>
      <w:r w:rsidRPr="007D517D">
        <w:rPr>
          <w:rFonts w:ascii="Arial Narrow" w:hAnsi="Arial Narrow"/>
          <w:noProof/>
          <w:lang w:val="en-US"/>
        </w:rPr>
        <w:t xml:space="preserve"> </w:t>
      </w:r>
      <w:r w:rsidRPr="007D517D">
        <w:rPr>
          <w:rFonts w:ascii="Arial Narrow" w:hAnsi="Arial Narrow"/>
          <w:noProof/>
        </w:rPr>
        <w:t xml:space="preserve">     </w:t>
      </w:r>
      <w:r>
        <w:rPr>
          <w:rFonts w:ascii="Arial Narrow" w:hAnsi="Arial Narrow" w:cs="Arial"/>
          <w:b/>
          <w:noProof/>
          <w:color w:val="000000"/>
          <w:sz w:val="24"/>
          <w:u w:val="single"/>
          <w:lang w:val="en-US"/>
        </w:rPr>
        <w:drawing>
          <wp:inline distT="0" distB="0" distL="0" distR="0">
            <wp:extent cx="923925"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64981" name="Picture 4"/>
                    <pic:cNvPicPr>
                      <a:picLocks noChangeAspect="1" noChangeArrowheads="1"/>
                    </pic:cNvPicPr>
                  </pic:nvPicPr>
                  <pic:blipFill>
                    <a:blip r:embed="rId8" cstate="print"/>
                    <a:stretch>
                      <a:fillRect/>
                    </a:stretch>
                  </pic:blipFill>
                  <pic:spPr bwMode="auto">
                    <a:xfrm>
                      <a:off x="0" y="0"/>
                      <a:ext cx="923925" cy="952500"/>
                    </a:xfrm>
                    <a:prstGeom prst="rect">
                      <a:avLst/>
                    </a:prstGeom>
                    <a:noFill/>
                    <a:ln w="9525">
                      <a:noFill/>
                      <a:miter lim="800000"/>
                      <a:headEnd/>
                      <a:tailEnd/>
                    </a:ln>
                  </pic:spPr>
                </pic:pic>
              </a:graphicData>
            </a:graphic>
          </wp:inline>
        </w:drawing>
      </w:r>
      <w:r w:rsidRPr="007D517D">
        <w:rPr>
          <w:rFonts w:ascii="Arial Narrow" w:hAnsi="Arial Narrow"/>
          <w:noProof/>
          <w:lang w:val="en-US"/>
        </w:rPr>
        <w:t xml:space="preserve"> </w:t>
      </w:r>
      <w:r w:rsidRPr="007D517D">
        <w:rPr>
          <w:rFonts w:ascii="Arial Narrow" w:hAnsi="Arial Narrow"/>
          <w:noProof/>
        </w:rPr>
        <w:t xml:space="preserve">      </w:t>
      </w:r>
      <w:r>
        <w:rPr>
          <w:rFonts w:ascii="Arial Narrow" w:hAnsi="Arial Narrow" w:cs="Arial"/>
          <w:b/>
          <w:noProof/>
          <w:color w:val="000000"/>
          <w:sz w:val="24"/>
          <w:u w:val="single"/>
          <w:lang w:val="en-US"/>
        </w:rPr>
        <w:drawing>
          <wp:inline distT="0" distB="0" distL="0" distR="0">
            <wp:extent cx="1123950" cy="885825"/>
            <wp:effectExtent l="19050" t="0" r="0" b="0"/>
            <wp:docPr id="1016655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78125" name="Picture 5"/>
                    <pic:cNvPicPr>
                      <a:picLocks noChangeAspect="1" noChangeArrowheads="1"/>
                    </pic:cNvPicPr>
                  </pic:nvPicPr>
                  <pic:blipFill>
                    <a:blip r:embed="rId9" cstate="print"/>
                    <a:stretch>
                      <a:fillRect/>
                    </a:stretch>
                  </pic:blipFill>
                  <pic:spPr bwMode="auto">
                    <a:xfrm>
                      <a:off x="0" y="0"/>
                      <a:ext cx="1123950" cy="885825"/>
                    </a:xfrm>
                    <a:prstGeom prst="rect">
                      <a:avLst/>
                    </a:prstGeom>
                    <a:noFill/>
                    <a:ln w="9525">
                      <a:noFill/>
                      <a:miter lim="800000"/>
                      <a:headEnd/>
                      <a:tailEnd/>
                    </a:ln>
                  </pic:spPr>
                </pic:pic>
              </a:graphicData>
            </a:graphic>
          </wp:inline>
        </w:drawing>
      </w:r>
    </w:p>
    <w:p w:rsidR="00BE5CE9" w:rsidRDefault="00BE5CE9" w:rsidP="00641B5E">
      <w:pPr>
        <w:autoSpaceDE w:val="0"/>
        <w:autoSpaceDN w:val="0"/>
        <w:adjustRightInd w:val="0"/>
        <w:ind w:right="-97"/>
        <w:jc w:val="both"/>
        <w:rPr>
          <w:rFonts w:ascii="Arial Narrow" w:hAnsi="Arial Narrow" w:cs="Arial"/>
          <w:color w:val="000000"/>
          <w:lang w:val="en-US"/>
        </w:rPr>
      </w:pPr>
    </w:p>
    <w:p w:rsidR="00641B5E" w:rsidRPr="007D517D" w:rsidRDefault="00000000" w:rsidP="00641B5E">
      <w:pPr>
        <w:autoSpaceDE w:val="0"/>
        <w:autoSpaceDN w:val="0"/>
        <w:adjustRightInd w:val="0"/>
        <w:ind w:right="-97"/>
        <w:jc w:val="both"/>
        <w:rPr>
          <w:rFonts w:ascii="Arial Narrow" w:hAnsi="Arial Narrow" w:cs="Arial"/>
          <w:color w:val="000000"/>
        </w:rPr>
      </w:pPr>
      <w:r>
        <w:rPr>
          <w:rFonts w:ascii="Arial Narrow" w:eastAsia="Arial Narrow" w:hAnsi="Arial Narrow" w:cs="Arial"/>
          <w:color w:val="000000"/>
          <w:lang w:val="sq-AL"/>
        </w:rPr>
        <w:t xml:space="preserve">Mbrojtja e të miturve nga programet që mund të ndikojnë negativisht në zhvillimin e tyre fizik, mendor apo moral, është një nga detyrat më të rëndësishme të Agjencisë për Shërbime Mediatike Audio dhe Audiovizive, të cilës Agjencia e trajton me shumë seriozitet. </w:t>
      </w:r>
    </w:p>
    <w:p w:rsidR="00641B5E" w:rsidRPr="007D517D" w:rsidRDefault="00000000" w:rsidP="00641B5E">
      <w:pPr>
        <w:autoSpaceDE w:val="0"/>
        <w:autoSpaceDN w:val="0"/>
        <w:adjustRightInd w:val="0"/>
        <w:ind w:right="-97"/>
        <w:jc w:val="both"/>
        <w:rPr>
          <w:rFonts w:ascii="Arial Narrow" w:hAnsi="Arial Narrow" w:cs="Arial"/>
          <w:color w:val="000000"/>
        </w:rPr>
      </w:pPr>
      <w:r>
        <w:rPr>
          <w:rFonts w:ascii="Arial Narrow" w:eastAsia="Arial Narrow" w:hAnsi="Arial Narrow" w:cs="Arial"/>
          <w:color w:val="000000"/>
          <w:lang w:val="sq-AL"/>
        </w:rPr>
        <w:t xml:space="preserve">Transmetuesit dhe ofruesit e shërbimeve të mediave audiovizive sipas kërkesës (siç është Max TV) nuk duhet të transmetojnë programe që mund të dëmtojnë seriozisht të miturit. Kjo vlen veçanërisht për programet që përmbajnë pornografi ose dhunë të panevojshme. </w:t>
      </w:r>
    </w:p>
    <w:p w:rsidR="00641B5E" w:rsidRPr="007D517D" w:rsidRDefault="00000000" w:rsidP="00641B5E">
      <w:pPr>
        <w:autoSpaceDE w:val="0"/>
        <w:autoSpaceDN w:val="0"/>
        <w:adjustRightInd w:val="0"/>
        <w:ind w:right="-97"/>
        <w:jc w:val="both"/>
        <w:rPr>
          <w:rFonts w:ascii="Arial Narrow" w:hAnsi="Arial Narrow" w:cs="Arial"/>
          <w:color w:val="000000"/>
        </w:rPr>
      </w:pPr>
      <w:r>
        <w:rPr>
          <w:rFonts w:ascii="Arial Narrow" w:eastAsia="Arial Narrow" w:hAnsi="Arial Narrow" w:cs="Arial"/>
          <w:color w:val="000000"/>
          <w:lang w:val="sq-AL"/>
        </w:rPr>
        <w:t>Ndalimi zbatohet gjithashtu për programet e tjera që mund të dëmtojnë të miturit, përveç kur sigurohet që të miturit normalisht nuk do t'i dëgjojnë ose shohin ato programe. Kjo arrihet duke transmetuar ose riprodhuar programe në një periudhë të caktuar kohore dhe/ose duke aplikuar një masë të caktuar teknike. Kur programe të tilla transmetohen ose rishikohen në formë të pakoduar, është e detyrueshme të sigurohet një paralajmërim akustik paraprak përpara transmetimit të tyre dhe mundësia e njohjes me ndihmën e shenjave pamore gjatë kohëzgjatjes së tyre.</w:t>
      </w:r>
    </w:p>
    <w:p w:rsidR="00641B5E" w:rsidRPr="00F412FB" w:rsidRDefault="00000000" w:rsidP="00F412FB">
      <w:pPr>
        <w:pStyle w:val="ListParagraph"/>
        <w:numPr>
          <w:ilvl w:val="0"/>
          <w:numId w:val="2"/>
        </w:numPr>
        <w:autoSpaceDE w:val="0"/>
        <w:autoSpaceDN w:val="0"/>
        <w:adjustRightInd w:val="0"/>
        <w:ind w:right="-97"/>
        <w:jc w:val="both"/>
        <w:rPr>
          <w:rFonts w:ascii="Arial Narrow" w:hAnsi="Arial Narrow" w:cs="Arial"/>
          <w:b/>
        </w:rPr>
      </w:pPr>
      <w:r>
        <w:rPr>
          <w:rFonts w:ascii="Arial Narrow" w:eastAsia="Arial Narrow" w:hAnsi="Arial Narrow" w:cs="Arial"/>
          <w:b/>
          <w:bCs/>
          <w:lang w:val="sq-AL"/>
        </w:rPr>
        <w:t xml:space="preserve">KUSH </w:t>
      </w:r>
      <w:r w:rsidR="006824EF">
        <w:rPr>
          <w:rFonts w:ascii="Arial Narrow" w:eastAsia="Arial Narrow" w:hAnsi="Arial Narrow" w:cs="Arial"/>
          <w:b/>
          <w:bCs/>
          <w:lang w:val="sq-AL"/>
        </w:rPr>
        <w:t>DHE SI E</w:t>
      </w:r>
      <w:r>
        <w:rPr>
          <w:rFonts w:ascii="Arial Narrow" w:eastAsia="Arial Narrow" w:hAnsi="Arial Narrow" w:cs="Arial"/>
          <w:b/>
          <w:bCs/>
          <w:lang w:val="sq-AL"/>
        </w:rPr>
        <w:t xml:space="preserve"> BËN KATEGORIZIMIN E PROGRAMEVE? </w:t>
      </w:r>
    </w:p>
    <w:p w:rsidR="00641B5E" w:rsidRPr="00C61176" w:rsidRDefault="00000000" w:rsidP="00641B5E">
      <w:pPr>
        <w:autoSpaceDE w:val="0"/>
        <w:autoSpaceDN w:val="0"/>
        <w:adjustRightInd w:val="0"/>
        <w:ind w:right="-97"/>
        <w:jc w:val="both"/>
        <w:rPr>
          <w:rFonts w:ascii="Arial Narrow" w:hAnsi="Arial Narrow" w:cs="Arial"/>
          <w:i/>
          <w:color w:val="000000"/>
        </w:rPr>
      </w:pPr>
      <w:r>
        <w:rPr>
          <w:rFonts w:ascii="Arial Narrow" w:eastAsia="Arial Narrow" w:hAnsi="Arial Narrow" w:cs="Arial"/>
          <w:i/>
          <w:iCs/>
          <w:color w:val="000000"/>
          <w:lang w:val="sq-AL"/>
        </w:rPr>
        <w:t>Agjencia për Shërbime Mediatike Audio dhe Audiovizive, në nëntor 2014, miratoi një Rregullore që përcakton mënyrën e kategorizimit dhe periudhave të transmetimit të programeve audiovizive që mund të kenë efekte të dëmshme për të miturit, format e paralajmërimit akustik dhe vizual, shenjat vizuale, masat teknike. për mbrojtje.</w:t>
      </w:r>
    </w:p>
    <w:p w:rsidR="00641B5E" w:rsidRDefault="00000000" w:rsidP="00641B5E">
      <w:pPr>
        <w:autoSpaceDE w:val="0"/>
        <w:autoSpaceDN w:val="0"/>
        <w:adjustRightInd w:val="0"/>
        <w:ind w:right="-97"/>
        <w:jc w:val="both"/>
        <w:rPr>
          <w:rFonts w:ascii="Arial Narrow" w:hAnsi="Arial Narrow" w:cs="Arial"/>
          <w:color w:val="000000"/>
        </w:rPr>
      </w:pPr>
      <w:r>
        <w:rPr>
          <w:rFonts w:ascii="Arial Narrow" w:eastAsia="Arial Narrow" w:hAnsi="Arial Narrow" w:cs="Arial"/>
          <w:color w:val="000000"/>
          <w:lang w:val="sq-AL"/>
        </w:rPr>
        <w:t xml:space="preserve">Programet që mund të kenë një efekt të dëmshëm për të miturit konsiderohen se përfshijnë përshkrime, skena ose skena dhune, erotikë, sjellje seksuale të ndaluara me ligj, fjalime të turpshme (vulgare), forma sugjestive të sjelljes që janë të lehta për t'u imituar dhe të rrezikshme për shëndetin dhe. sigurinë, sjellje fyese për dinjitetin njerëzor.  </w:t>
      </w:r>
    </w:p>
    <w:p w:rsidR="00641B5E" w:rsidRPr="007D517D" w:rsidRDefault="00000000" w:rsidP="00641B5E">
      <w:pPr>
        <w:autoSpaceDE w:val="0"/>
        <w:autoSpaceDN w:val="0"/>
        <w:adjustRightInd w:val="0"/>
        <w:ind w:right="-97"/>
        <w:jc w:val="both"/>
        <w:rPr>
          <w:rFonts w:ascii="Arial Narrow" w:hAnsi="Arial Narrow" w:cs="Arial"/>
        </w:rPr>
      </w:pPr>
      <w:r>
        <w:rPr>
          <w:rFonts w:ascii="Arial Narrow" w:eastAsia="Arial Narrow" w:hAnsi="Arial Narrow" w:cs="Arial"/>
          <w:lang w:val="sq-AL"/>
        </w:rPr>
        <w:t xml:space="preserve">Vetë ofruesit e shërbimeve mediatike audiovizuele janë të detyruar të kategorizojnë totalin e programit që transmetohet në shërbimet programore televizive ose ofrohet në katalogun e shërbimeve mediatike audiovizive sipas kërkesës, me përjashtim të lajmeve dhe programeve informative.           </w:t>
      </w:r>
    </w:p>
    <w:p w:rsidR="00833455" w:rsidRDefault="00000000" w:rsidP="00641B5E">
      <w:pPr>
        <w:autoSpaceDE w:val="0"/>
        <w:autoSpaceDN w:val="0"/>
        <w:adjustRightInd w:val="0"/>
        <w:ind w:right="-97"/>
        <w:jc w:val="both"/>
        <w:rPr>
          <w:rFonts w:ascii="Arial Narrow" w:eastAsia="Arial Narrow" w:hAnsi="Arial Narrow" w:cs="Arial"/>
          <w:lang w:val="sq-AL"/>
        </w:rPr>
      </w:pPr>
      <w:r>
        <w:rPr>
          <w:rFonts w:ascii="Arial Narrow" w:eastAsia="Arial Narrow" w:hAnsi="Arial Narrow" w:cs="Arial"/>
          <w:lang w:val="sq-AL"/>
        </w:rPr>
        <w:t xml:space="preserve">Kategorizimi bëhet në bazë të kritereve të caktuara që Agjencia i ka përcaktuar në Rregulloren për mbrojtjen e audiencës së vogël.               </w:t>
      </w:r>
    </w:p>
    <w:p w:rsidR="00641B5E" w:rsidRDefault="00000000" w:rsidP="00641B5E">
      <w:pPr>
        <w:autoSpaceDE w:val="0"/>
        <w:autoSpaceDN w:val="0"/>
        <w:adjustRightInd w:val="0"/>
        <w:ind w:right="-97"/>
        <w:jc w:val="both"/>
        <w:rPr>
          <w:rFonts w:ascii="Arial Narrow" w:hAnsi="Arial Narrow" w:cs="Arial"/>
        </w:rPr>
      </w:pPr>
      <w:r>
        <w:rPr>
          <w:rFonts w:ascii="Arial Narrow" w:eastAsia="Arial Narrow" w:hAnsi="Arial Narrow" w:cs="Arial"/>
          <w:lang w:val="sq-AL"/>
        </w:rPr>
        <w:t xml:space="preserve">   </w:t>
      </w:r>
    </w:p>
    <w:p w:rsidR="00641B5E" w:rsidRDefault="00641B5E" w:rsidP="00641B5E">
      <w:pPr>
        <w:autoSpaceDE w:val="0"/>
        <w:autoSpaceDN w:val="0"/>
        <w:adjustRightInd w:val="0"/>
        <w:ind w:right="-97"/>
        <w:jc w:val="both"/>
        <w:rPr>
          <w:rFonts w:ascii="Arial Narrow" w:hAnsi="Arial Narrow" w:cs="Arial"/>
        </w:rPr>
      </w:pPr>
    </w:p>
    <w:p w:rsidR="00641B5E" w:rsidRPr="00F412FB" w:rsidRDefault="00000000" w:rsidP="00F412FB">
      <w:pPr>
        <w:pStyle w:val="ListParagraph"/>
        <w:numPr>
          <w:ilvl w:val="0"/>
          <w:numId w:val="2"/>
        </w:numPr>
        <w:autoSpaceDE w:val="0"/>
        <w:autoSpaceDN w:val="0"/>
        <w:adjustRightInd w:val="0"/>
        <w:ind w:right="-97"/>
        <w:jc w:val="both"/>
        <w:rPr>
          <w:rFonts w:ascii="Arial Narrow" w:hAnsi="Arial Narrow" w:cs="Arial"/>
        </w:rPr>
      </w:pPr>
      <w:r>
        <w:rPr>
          <w:rFonts w:ascii="Arial Narrow" w:eastAsia="Arial Narrow" w:hAnsi="Arial Narrow" w:cs="Arial"/>
          <w:b/>
          <w:bCs/>
          <w:lang w:val="sq-AL"/>
        </w:rPr>
        <w:lastRenderedPageBreak/>
        <w:t>SA KATEGORI TË PROGRAMEVE EKZISTOJNË DHE KUR MUND TË TRANSMETOHEN</w:t>
      </w:r>
      <w:r>
        <w:rPr>
          <w:rFonts w:ascii="Arial Narrow" w:eastAsia="Arial Narrow" w:hAnsi="Arial Narrow" w:cs="Arial"/>
          <w:lang w:val="sq-AL"/>
        </w:rPr>
        <w:t xml:space="preserve">?             </w:t>
      </w:r>
    </w:p>
    <w:p w:rsidR="00641B5E" w:rsidRPr="007D517D" w:rsidRDefault="00000000" w:rsidP="00641B5E">
      <w:pPr>
        <w:autoSpaceDE w:val="0"/>
        <w:autoSpaceDN w:val="0"/>
        <w:adjustRightInd w:val="0"/>
        <w:ind w:right="-97"/>
        <w:jc w:val="both"/>
        <w:rPr>
          <w:rFonts w:ascii="Arial Narrow" w:hAnsi="Arial Narrow" w:cs="Arial"/>
        </w:rPr>
      </w:pPr>
      <w:r>
        <w:rPr>
          <w:rFonts w:ascii="Arial Narrow" w:eastAsia="Arial Narrow" w:hAnsi="Arial Narrow" w:cs="Arial"/>
          <w:lang w:val="sq-AL"/>
        </w:rPr>
        <w:t>Programet që i nënshtrohen kategorizimit klasifikohen në pesë kategoritë e mëposhtme:</w:t>
      </w:r>
    </w:p>
    <w:p w:rsidR="00641B5E" w:rsidRDefault="00000000" w:rsidP="00641B5E">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 xml:space="preserve">Kategoria e parë janë programe të destinuara për të gjithë audiencën, të transmetuara gjatë gjithë ditës dhe natës; </w:t>
      </w:r>
    </w:p>
    <w:p w:rsidR="00641B5E" w:rsidRPr="007D517D" w:rsidRDefault="00641B5E" w:rsidP="00641B5E">
      <w:pPr>
        <w:autoSpaceDE w:val="0"/>
        <w:autoSpaceDN w:val="0"/>
        <w:adjustRightInd w:val="0"/>
        <w:spacing w:after="0" w:line="240" w:lineRule="auto"/>
        <w:ind w:left="360" w:right="-97"/>
        <w:jc w:val="both"/>
        <w:rPr>
          <w:rFonts w:ascii="Arial Narrow" w:hAnsi="Arial Narrow" w:cs="Arial"/>
        </w:rPr>
      </w:pPr>
    </w:p>
    <w:p w:rsidR="00641B5E" w:rsidRDefault="00000000" w:rsidP="00641B5E">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 xml:space="preserve">Kategoria e dytë janë programet që nuk rekomandohen për fëmijët nën 8 vjeç, për të cilat rekomandohet monitorimi nga prindi ose kujdestari, transmetohet gjatë gjithë ditës dhe natës; </w:t>
      </w:r>
    </w:p>
    <w:p w:rsidR="00641B5E" w:rsidRPr="007D517D" w:rsidRDefault="00641B5E" w:rsidP="00641B5E">
      <w:pPr>
        <w:autoSpaceDE w:val="0"/>
        <w:autoSpaceDN w:val="0"/>
        <w:adjustRightInd w:val="0"/>
        <w:spacing w:after="0" w:line="240" w:lineRule="auto"/>
        <w:ind w:left="360" w:right="-97"/>
        <w:jc w:val="both"/>
        <w:rPr>
          <w:rFonts w:ascii="Arial Narrow" w:hAnsi="Arial Narrow" w:cs="Arial"/>
        </w:rPr>
      </w:pPr>
    </w:p>
    <w:p w:rsidR="00641B5E" w:rsidRDefault="00000000" w:rsidP="00641B5E">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 xml:space="preserve">Kategoria e tretë janë programet nën moshën 12 vjeçare për të cilat është e nevojshme mbikëqyrja nga prindi ose kujdestari, të transmetuara nga ora 20:00 deri në orën 5:00 të mëngjesit; </w:t>
      </w:r>
    </w:p>
    <w:p w:rsidR="00641B5E" w:rsidRPr="007D517D" w:rsidRDefault="00641B5E" w:rsidP="00641B5E">
      <w:pPr>
        <w:autoSpaceDE w:val="0"/>
        <w:autoSpaceDN w:val="0"/>
        <w:adjustRightInd w:val="0"/>
        <w:spacing w:after="0" w:line="240" w:lineRule="auto"/>
        <w:ind w:left="360" w:right="-97"/>
        <w:jc w:val="both"/>
        <w:rPr>
          <w:rFonts w:ascii="Arial Narrow" w:hAnsi="Arial Narrow" w:cs="Arial"/>
        </w:rPr>
      </w:pPr>
    </w:p>
    <w:p w:rsidR="00641B5E" w:rsidRDefault="00000000" w:rsidP="00641B5E">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Kategoria e katërt janë programet që nuk rekomandohen për fëmijët nën 16 vjeç, për monitorimin e të cilave është i nevojshëm mbikëqyrja nga prindi ose kujdestari, të transmetuara nga ora 22:00 deri në orën 05:00;</w:t>
      </w:r>
    </w:p>
    <w:p w:rsidR="00641B5E" w:rsidRPr="007D517D" w:rsidRDefault="00641B5E" w:rsidP="00641B5E">
      <w:pPr>
        <w:autoSpaceDE w:val="0"/>
        <w:autoSpaceDN w:val="0"/>
        <w:adjustRightInd w:val="0"/>
        <w:spacing w:after="0" w:line="240" w:lineRule="auto"/>
        <w:ind w:left="360" w:right="-97"/>
        <w:jc w:val="both"/>
        <w:rPr>
          <w:rFonts w:ascii="Arial Narrow" w:hAnsi="Arial Narrow" w:cs="Arial"/>
        </w:rPr>
      </w:pPr>
    </w:p>
    <w:p w:rsidR="00641B5E" w:rsidRPr="007D517D" w:rsidRDefault="00000000" w:rsidP="00641B5E">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Kategoria e pestë janë programet që nuk janë të përshtatshme për audiencë nën moshën 18 vjeç, të transmetuara nga ora 00:00 deri në 05:00.</w:t>
      </w:r>
    </w:p>
    <w:p w:rsidR="00641B5E" w:rsidRPr="007D517D" w:rsidRDefault="00641B5E" w:rsidP="00641B5E">
      <w:pPr>
        <w:autoSpaceDE w:val="0"/>
        <w:autoSpaceDN w:val="0"/>
        <w:adjustRightInd w:val="0"/>
        <w:ind w:left="-916" w:right="-97"/>
        <w:jc w:val="both"/>
        <w:rPr>
          <w:rFonts w:ascii="Arial Narrow" w:hAnsi="Arial Narrow" w:cs="Arial"/>
        </w:rPr>
      </w:pPr>
    </w:p>
    <w:p w:rsidR="00641B5E" w:rsidRPr="00F412FB" w:rsidRDefault="00000000" w:rsidP="00F412FB">
      <w:pPr>
        <w:pStyle w:val="ListParagraph"/>
        <w:numPr>
          <w:ilvl w:val="0"/>
          <w:numId w:val="2"/>
        </w:numPr>
        <w:autoSpaceDE w:val="0"/>
        <w:autoSpaceDN w:val="0"/>
        <w:adjustRightInd w:val="0"/>
        <w:ind w:right="-97"/>
        <w:jc w:val="both"/>
        <w:rPr>
          <w:rFonts w:ascii="Arial Narrow" w:hAnsi="Arial Narrow" w:cs="Arial"/>
          <w:b/>
        </w:rPr>
      </w:pPr>
      <w:r>
        <w:rPr>
          <w:rFonts w:ascii="Arial Narrow" w:eastAsia="Arial Narrow" w:hAnsi="Arial Narrow" w:cs="Arial"/>
          <w:b/>
          <w:bCs/>
          <w:lang w:val="sq-AL"/>
        </w:rPr>
        <w:t>SINJALIZIMI PARALAJMËRIM (PARALAJMËRIMI KUSTIK DHE SHENJAT VIZUALE) – KUR, KU DHE SI ZBATOHET?</w:t>
      </w:r>
    </w:p>
    <w:p w:rsidR="00641B5E" w:rsidRPr="007D517D" w:rsidRDefault="00000000" w:rsidP="00641B5E">
      <w:pPr>
        <w:autoSpaceDE w:val="0"/>
        <w:autoSpaceDN w:val="0"/>
        <w:adjustRightInd w:val="0"/>
        <w:ind w:right="-97"/>
        <w:jc w:val="both"/>
        <w:rPr>
          <w:rFonts w:ascii="Arial Narrow" w:hAnsi="Arial Narrow" w:cs="Arial"/>
        </w:rPr>
      </w:pPr>
      <w:r>
        <w:rPr>
          <w:rFonts w:ascii="Arial Narrow" w:eastAsia="Arial Narrow" w:hAnsi="Arial Narrow" w:cs="Arial"/>
          <w:lang w:val="sq-AL"/>
        </w:rPr>
        <w:t>Sinjali paralajmërues duhet të aplikohet para fillimit dhe gjatë transmetimit të programeve të shërbimeve programore televizive (paralajmërim akustik dhe shenja vizuale) dhe në një vend të përshtatshëm pranë programeve të disponueshme në katalogun e shërbimeve mediatike audiovizive sipas kërkesës (vetëm shenjë vizuale), përkatësisht:</w:t>
      </w:r>
    </w:p>
    <w:p w:rsidR="00641B5E" w:rsidRPr="007D517D" w:rsidRDefault="00000000" w:rsidP="00641B5E">
      <w:pPr>
        <w:numPr>
          <w:ilvl w:val="0"/>
          <w:numId w:val="1"/>
        </w:numPr>
        <w:autoSpaceDE w:val="0"/>
        <w:autoSpaceDN w:val="0"/>
        <w:adjustRightInd w:val="0"/>
        <w:ind w:right="-97"/>
        <w:jc w:val="both"/>
        <w:rPr>
          <w:rFonts w:ascii="Arial Narrow" w:hAnsi="Arial Narrow" w:cs="Arial"/>
        </w:rPr>
      </w:pPr>
      <w:r>
        <w:rPr>
          <w:rFonts w:ascii="Arial Narrow" w:eastAsia="Arial Narrow" w:hAnsi="Arial Narrow" w:cs="Arial"/>
          <w:lang w:val="sq-AL"/>
        </w:rPr>
        <w:t>Në të gjitha llojet e programeve funksionale dhe</w:t>
      </w:r>
    </w:p>
    <w:p w:rsidR="00641B5E" w:rsidRDefault="00000000" w:rsidP="00641B5E">
      <w:pPr>
        <w:numPr>
          <w:ilvl w:val="0"/>
          <w:numId w:val="1"/>
        </w:numPr>
        <w:autoSpaceDE w:val="0"/>
        <w:autoSpaceDN w:val="0"/>
        <w:adjustRightInd w:val="0"/>
        <w:ind w:right="-97"/>
        <w:jc w:val="both"/>
        <w:rPr>
          <w:rFonts w:ascii="Arial Narrow" w:hAnsi="Arial Narrow" w:cs="Arial"/>
        </w:rPr>
      </w:pPr>
      <w:r>
        <w:rPr>
          <w:rFonts w:ascii="Arial Narrow" w:eastAsia="Arial Narrow" w:hAnsi="Arial Narrow" w:cs="Arial"/>
          <w:lang w:val="sq-AL"/>
        </w:rPr>
        <w:t>Në ato lloj programesh me funksion informues, edukativ ose argëtues, të cilat në tërësi ose nëpërmjet pjesëve të tyre mund të kenë një efekt të dëmshëm për të miturit.</w:t>
      </w:r>
    </w:p>
    <w:p w:rsidR="00641B5E" w:rsidRDefault="00641B5E" w:rsidP="00641B5E">
      <w:pPr>
        <w:autoSpaceDE w:val="0"/>
        <w:autoSpaceDN w:val="0"/>
        <w:adjustRightInd w:val="0"/>
        <w:spacing w:after="0" w:line="240" w:lineRule="auto"/>
        <w:ind w:right="-97"/>
        <w:jc w:val="both"/>
        <w:rPr>
          <w:rFonts w:ascii="Arial Narrow" w:hAnsi="Arial Narrow" w:cs="Arial"/>
        </w:rPr>
      </w:pPr>
    </w:p>
    <w:p w:rsidR="00641B5E" w:rsidRPr="00F412FB" w:rsidRDefault="00000000" w:rsidP="00F412FB">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t>ÇFARË MASA TEKNIKE ZBATOHEN PËR MBROJTJEN E TË MITURVE NË SHËRBIMET ME KËRKESË?</w:t>
      </w:r>
    </w:p>
    <w:p w:rsidR="00641B5E" w:rsidRPr="007D517D" w:rsidRDefault="00641B5E" w:rsidP="00641B5E">
      <w:pPr>
        <w:autoSpaceDE w:val="0"/>
        <w:autoSpaceDN w:val="0"/>
        <w:adjustRightInd w:val="0"/>
        <w:spacing w:after="0" w:line="240" w:lineRule="auto"/>
        <w:ind w:right="-97"/>
        <w:jc w:val="both"/>
        <w:rPr>
          <w:rFonts w:ascii="Arial Narrow" w:hAnsi="Arial Narrow" w:cs="Arial"/>
          <w:b/>
        </w:rPr>
      </w:pPr>
    </w:p>
    <w:p w:rsidR="00641B5E" w:rsidRDefault="00000000" w:rsidP="00641B5E">
      <w:pPr>
        <w:autoSpaceDE w:val="0"/>
        <w:autoSpaceDN w:val="0"/>
        <w:adjustRightInd w:val="0"/>
        <w:spacing w:after="0" w:line="240" w:lineRule="auto"/>
        <w:ind w:right="-97"/>
        <w:jc w:val="both"/>
        <w:rPr>
          <w:rFonts w:ascii="Arial Narrow" w:hAnsi="Arial Narrow" w:cs="Arial"/>
          <w:lang w:val="en-US"/>
        </w:rPr>
      </w:pPr>
      <w:r>
        <w:rPr>
          <w:rFonts w:ascii="Arial Narrow" w:eastAsia="Arial Narrow" w:hAnsi="Arial Narrow" w:cs="Arial"/>
          <w:lang w:val="sq-AL"/>
        </w:rPr>
        <w:t>Ofruesit e shërbimeve mediatike audiovizive sipas kërkesës janë të detyruar të sigurojnë masa teknike që do t'i parandalojnë të miturit të kenë akses në përmbajtje që mund t'i dëmtojë ata, përkatësisht:</w:t>
      </w:r>
    </w:p>
    <w:p w:rsidR="00BE5CE9" w:rsidRPr="00BE5CE9" w:rsidRDefault="00BE5CE9" w:rsidP="00641B5E">
      <w:pPr>
        <w:autoSpaceDE w:val="0"/>
        <w:autoSpaceDN w:val="0"/>
        <w:adjustRightInd w:val="0"/>
        <w:spacing w:after="0" w:line="240" w:lineRule="auto"/>
        <w:ind w:right="-97"/>
        <w:jc w:val="both"/>
        <w:rPr>
          <w:rFonts w:ascii="Arial Narrow" w:hAnsi="Arial Narrow" w:cs="Arial"/>
          <w:lang w:val="en-US"/>
        </w:rPr>
      </w:pPr>
    </w:p>
    <w:p w:rsidR="00641B5E" w:rsidRPr="007D517D" w:rsidRDefault="00000000" w:rsidP="00641B5E">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Kodet personale të identifikimit që mund të përdoren për të verifikuar moshën e përdoruesit përpara se të lejohet aksesi në përmbajtje;</w:t>
      </w:r>
    </w:p>
    <w:p w:rsidR="00641B5E" w:rsidRPr="007D517D" w:rsidRDefault="00000000" w:rsidP="00641B5E">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filtrimi i përmbajtjes;</w:t>
      </w:r>
    </w:p>
    <w:p w:rsidR="00641B5E" w:rsidRPr="007D517D" w:rsidRDefault="00000000" w:rsidP="00641B5E">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Aplikimi i sistemeve të pavarura të filtrimit që analizojnë programin, njohin dhe përjashtojnë përmbajtje të dëmshme bazuar në kategoritë e përcaktuara nga prindi/kujdestari;</w:t>
      </w:r>
    </w:p>
    <w:p w:rsidR="00641B5E" w:rsidRDefault="00000000" w:rsidP="00641B5E">
      <w:pPr>
        <w:numPr>
          <w:ilvl w:val="0"/>
          <w:numId w:val="1"/>
        </w:num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Aplikimi i programeve të tjera me të cilat është e mundur të bllokohet aksesi i të miturve në përmbajtje që mund t'i dëmtojnë ata.</w:t>
      </w:r>
    </w:p>
    <w:p w:rsidR="00641B5E" w:rsidRDefault="00641B5E" w:rsidP="00641B5E">
      <w:pPr>
        <w:autoSpaceDE w:val="0"/>
        <w:autoSpaceDN w:val="0"/>
        <w:adjustRightInd w:val="0"/>
        <w:spacing w:after="0" w:line="240" w:lineRule="auto"/>
        <w:ind w:right="-97"/>
        <w:jc w:val="both"/>
        <w:rPr>
          <w:rFonts w:ascii="Arial Narrow" w:hAnsi="Arial Narrow" w:cs="Arial"/>
        </w:rPr>
      </w:pPr>
    </w:p>
    <w:p w:rsidR="00182455" w:rsidRDefault="00182455" w:rsidP="00641B5E">
      <w:pPr>
        <w:autoSpaceDE w:val="0"/>
        <w:autoSpaceDN w:val="0"/>
        <w:adjustRightInd w:val="0"/>
        <w:spacing w:after="0" w:line="240" w:lineRule="auto"/>
        <w:ind w:right="-97"/>
        <w:jc w:val="both"/>
        <w:rPr>
          <w:rFonts w:ascii="Arial Narrow" w:hAnsi="Arial Narrow" w:cs="Arial"/>
        </w:rPr>
      </w:pPr>
    </w:p>
    <w:p w:rsidR="00182455" w:rsidRDefault="00182455" w:rsidP="00641B5E">
      <w:pPr>
        <w:autoSpaceDE w:val="0"/>
        <w:autoSpaceDN w:val="0"/>
        <w:adjustRightInd w:val="0"/>
        <w:spacing w:after="0" w:line="240" w:lineRule="auto"/>
        <w:ind w:right="-97"/>
        <w:jc w:val="both"/>
        <w:rPr>
          <w:rFonts w:ascii="Arial Narrow" w:hAnsi="Arial Narrow" w:cs="Arial"/>
        </w:rPr>
      </w:pPr>
    </w:p>
    <w:p w:rsidR="00182455" w:rsidRDefault="00182455" w:rsidP="00641B5E">
      <w:pPr>
        <w:autoSpaceDE w:val="0"/>
        <w:autoSpaceDN w:val="0"/>
        <w:adjustRightInd w:val="0"/>
        <w:spacing w:after="0" w:line="240" w:lineRule="auto"/>
        <w:ind w:right="-97"/>
        <w:jc w:val="both"/>
        <w:rPr>
          <w:rFonts w:ascii="Arial Narrow" w:hAnsi="Arial Narrow" w:cs="Arial"/>
        </w:rPr>
      </w:pPr>
    </w:p>
    <w:p w:rsidR="00641B5E" w:rsidRDefault="00641B5E" w:rsidP="00641B5E">
      <w:pPr>
        <w:autoSpaceDE w:val="0"/>
        <w:autoSpaceDN w:val="0"/>
        <w:adjustRightInd w:val="0"/>
        <w:spacing w:after="0" w:line="240" w:lineRule="auto"/>
        <w:ind w:right="-97"/>
        <w:jc w:val="both"/>
        <w:rPr>
          <w:rFonts w:ascii="Arial Narrow" w:hAnsi="Arial Narrow" w:cs="Arial"/>
        </w:rPr>
      </w:pPr>
    </w:p>
    <w:p w:rsidR="00641B5E" w:rsidRPr="00F412FB" w:rsidRDefault="00000000" w:rsidP="00F412FB">
      <w:pPr>
        <w:pStyle w:val="ListParagraph"/>
        <w:numPr>
          <w:ilvl w:val="0"/>
          <w:numId w:val="2"/>
        </w:numPr>
        <w:autoSpaceDE w:val="0"/>
        <w:autoSpaceDN w:val="0"/>
        <w:adjustRightInd w:val="0"/>
        <w:spacing w:after="0" w:line="240" w:lineRule="auto"/>
        <w:ind w:right="-97"/>
        <w:jc w:val="both"/>
        <w:rPr>
          <w:rFonts w:ascii="Arial Narrow" w:hAnsi="Arial Narrow" w:cs="Arial"/>
          <w:b/>
        </w:rPr>
      </w:pPr>
      <w:r>
        <w:rPr>
          <w:rFonts w:ascii="Arial Narrow" w:eastAsia="Arial Narrow" w:hAnsi="Arial Narrow" w:cs="Arial"/>
          <w:b/>
          <w:bCs/>
          <w:lang w:val="sq-AL"/>
        </w:rPr>
        <w:lastRenderedPageBreak/>
        <w:t>ÇFARË NËSE PROGRAMI NUK</w:t>
      </w:r>
      <w:r w:rsidR="00712DA7">
        <w:rPr>
          <w:rFonts w:ascii="Arial Narrow" w:eastAsia="Arial Narrow" w:hAnsi="Arial Narrow" w:cs="Arial"/>
          <w:b/>
          <w:bCs/>
          <w:lang w:val="sq-AL"/>
        </w:rPr>
        <w:t xml:space="preserve"> ËSHTË i</w:t>
      </w:r>
      <w:r>
        <w:rPr>
          <w:rFonts w:ascii="Arial Narrow" w:eastAsia="Arial Narrow" w:hAnsi="Arial Narrow" w:cs="Arial"/>
          <w:b/>
          <w:bCs/>
          <w:lang w:val="sq-AL"/>
        </w:rPr>
        <w:t xml:space="preserve"> KATEGORIZOHET </w:t>
      </w:r>
      <w:r w:rsidR="00712DA7">
        <w:rPr>
          <w:rFonts w:ascii="Arial Narrow" w:eastAsia="Arial Narrow" w:hAnsi="Arial Narrow" w:cs="Arial"/>
          <w:b/>
          <w:bCs/>
          <w:lang w:val="sq-AL"/>
        </w:rPr>
        <w:t>NË REGULL</w:t>
      </w:r>
      <w:r>
        <w:rPr>
          <w:rFonts w:ascii="Arial Narrow" w:eastAsia="Arial Narrow" w:hAnsi="Arial Narrow" w:cs="Arial"/>
          <w:b/>
          <w:bCs/>
          <w:lang w:val="sq-AL"/>
        </w:rPr>
        <w:t>?</w:t>
      </w:r>
    </w:p>
    <w:p w:rsidR="00641B5E" w:rsidRPr="007D517D" w:rsidRDefault="00641B5E" w:rsidP="00641B5E">
      <w:pPr>
        <w:autoSpaceDE w:val="0"/>
        <w:autoSpaceDN w:val="0"/>
        <w:adjustRightInd w:val="0"/>
        <w:spacing w:after="0" w:line="240" w:lineRule="auto"/>
        <w:ind w:right="-97"/>
        <w:jc w:val="both"/>
        <w:rPr>
          <w:rFonts w:ascii="Arial Narrow" w:hAnsi="Arial Narrow" w:cs="Arial"/>
          <w:b/>
        </w:rPr>
      </w:pPr>
    </w:p>
    <w:p w:rsidR="00641B5E" w:rsidRPr="007D517D" w:rsidRDefault="00000000" w:rsidP="00641B5E">
      <w:pPr>
        <w:autoSpaceDE w:val="0"/>
        <w:autoSpaceDN w:val="0"/>
        <w:adjustRightInd w:val="0"/>
        <w:spacing w:after="0" w:line="240" w:lineRule="auto"/>
        <w:ind w:right="-97"/>
        <w:jc w:val="both"/>
        <w:rPr>
          <w:rFonts w:ascii="Arial Narrow" w:hAnsi="Arial Narrow" w:cs="Arial"/>
        </w:rPr>
      </w:pPr>
      <w:r>
        <w:rPr>
          <w:rFonts w:ascii="Arial Narrow" w:eastAsia="Arial Narrow" w:hAnsi="Arial Narrow" w:cs="Arial"/>
          <w:lang w:val="sq-AL"/>
        </w:rPr>
        <w:t>Gjatë kryerjes së mbikëqyrjes për respektimin e dispozitave për mbrojtjen e të miturve, ndër të tjera, agjencia merr parasysh edhe kategorizimin e programeve dhe nëse konstaton se nuk respektohen kriteret e kategorizimit, merr masat përkatëse ( do të lëshojë vërejtje, përkatësisht do të inicojë procedurë penale nëse edhe përkundër paralajmërimit vazhdon e njëjta shkelje).</w:t>
      </w:r>
    </w:p>
    <w:p w:rsidR="00641B5E" w:rsidRDefault="00641B5E" w:rsidP="00641B5E">
      <w:pPr>
        <w:autoSpaceDE w:val="0"/>
        <w:autoSpaceDN w:val="0"/>
        <w:adjustRightInd w:val="0"/>
        <w:spacing w:after="0" w:line="240" w:lineRule="auto"/>
        <w:ind w:right="-97"/>
        <w:jc w:val="both"/>
        <w:rPr>
          <w:rFonts w:ascii="Arial Narrow" w:hAnsi="Arial Narrow" w:cs="Arial"/>
        </w:rPr>
      </w:pPr>
    </w:p>
    <w:p w:rsidR="00641B5E" w:rsidRDefault="00641B5E" w:rsidP="00641B5E">
      <w:pPr>
        <w:autoSpaceDE w:val="0"/>
        <w:autoSpaceDN w:val="0"/>
        <w:adjustRightInd w:val="0"/>
        <w:spacing w:after="0" w:line="240" w:lineRule="auto"/>
        <w:ind w:right="-97"/>
        <w:jc w:val="both"/>
        <w:rPr>
          <w:rFonts w:ascii="Arial Narrow" w:hAnsi="Arial Narrow" w:cs="Arial"/>
        </w:rPr>
      </w:pPr>
    </w:p>
    <w:p w:rsidR="00641B5E" w:rsidRDefault="00641B5E" w:rsidP="00641B5E">
      <w:pPr>
        <w:autoSpaceDE w:val="0"/>
        <w:autoSpaceDN w:val="0"/>
        <w:adjustRightInd w:val="0"/>
        <w:spacing w:after="0" w:line="240" w:lineRule="auto"/>
        <w:ind w:right="-97"/>
        <w:jc w:val="both"/>
        <w:rPr>
          <w:rFonts w:ascii="Arial Narrow" w:hAnsi="Arial Narrow" w:cs="Arial"/>
        </w:rPr>
      </w:pPr>
    </w:p>
    <w:p w:rsidR="00641B5E" w:rsidRDefault="00641B5E" w:rsidP="00641B5E">
      <w:pPr>
        <w:autoSpaceDE w:val="0"/>
        <w:autoSpaceDN w:val="0"/>
        <w:adjustRightInd w:val="0"/>
        <w:spacing w:after="0" w:line="240" w:lineRule="auto"/>
        <w:ind w:right="-97"/>
        <w:jc w:val="both"/>
        <w:rPr>
          <w:rFonts w:ascii="Arial Narrow" w:hAnsi="Arial Narrow" w:cs="Arial"/>
        </w:rPr>
      </w:pPr>
    </w:p>
    <w:p w:rsidR="00641B5E" w:rsidRDefault="00641B5E" w:rsidP="00641B5E">
      <w:pPr>
        <w:autoSpaceDE w:val="0"/>
        <w:autoSpaceDN w:val="0"/>
        <w:adjustRightInd w:val="0"/>
        <w:spacing w:after="0" w:line="240" w:lineRule="auto"/>
        <w:ind w:right="-97"/>
        <w:jc w:val="both"/>
        <w:rPr>
          <w:rFonts w:ascii="Arial Narrow" w:hAnsi="Arial Narrow" w:cs="Arial"/>
        </w:rPr>
      </w:pPr>
    </w:p>
    <w:sectPr w:rsidR="00641B5E" w:rsidSect="00E54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B24"/>
    <w:multiLevelType w:val="hybridMultilevel"/>
    <w:tmpl w:val="167CDC30"/>
    <w:lvl w:ilvl="0" w:tplc="FC82AC72">
      <w:start w:val="1"/>
      <w:numFmt w:val="bullet"/>
      <w:lvlText w:val="-"/>
      <w:lvlJc w:val="left"/>
      <w:pPr>
        <w:ind w:left="360" w:hanging="360"/>
      </w:pPr>
      <w:rPr>
        <w:rFonts w:ascii="Calibri" w:eastAsia="Times New Roman" w:hAnsi="Calibri" w:cs="Arial" w:hint="default"/>
      </w:rPr>
    </w:lvl>
    <w:lvl w:ilvl="1" w:tplc="42D8B57E" w:tentative="1">
      <w:start w:val="1"/>
      <w:numFmt w:val="bullet"/>
      <w:lvlText w:val="o"/>
      <w:lvlJc w:val="left"/>
      <w:pPr>
        <w:ind w:left="1080" w:hanging="360"/>
      </w:pPr>
      <w:rPr>
        <w:rFonts w:ascii="Courier New" w:hAnsi="Courier New" w:cs="Courier New" w:hint="default"/>
      </w:rPr>
    </w:lvl>
    <w:lvl w:ilvl="2" w:tplc="3308071A" w:tentative="1">
      <w:start w:val="1"/>
      <w:numFmt w:val="bullet"/>
      <w:lvlText w:val=""/>
      <w:lvlJc w:val="left"/>
      <w:pPr>
        <w:ind w:left="1800" w:hanging="360"/>
      </w:pPr>
      <w:rPr>
        <w:rFonts w:ascii="Wingdings" w:hAnsi="Wingdings" w:hint="default"/>
      </w:rPr>
    </w:lvl>
    <w:lvl w:ilvl="3" w:tplc="E850EBA4" w:tentative="1">
      <w:start w:val="1"/>
      <w:numFmt w:val="bullet"/>
      <w:lvlText w:val=""/>
      <w:lvlJc w:val="left"/>
      <w:pPr>
        <w:ind w:left="2520" w:hanging="360"/>
      </w:pPr>
      <w:rPr>
        <w:rFonts w:ascii="Symbol" w:hAnsi="Symbol" w:hint="default"/>
      </w:rPr>
    </w:lvl>
    <w:lvl w:ilvl="4" w:tplc="81365828" w:tentative="1">
      <w:start w:val="1"/>
      <w:numFmt w:val="bullet"/>
      <w:lvlText w:val="o"/>
      <w:lvlJc w:val="left"/>
      <w:pPr>
        <w:ind w:left="3240" w:hanging="360"/>
      </w:pPr>
      <w:rPr>
        <w:rFonts w:ascii="Courier New" w:hAnsi="Courier New" w:cs="Courier New" w:hint="default"/>
      </w:rPr>
    </w:lvl>
    <w:lvl w:ilvl="5" w:tplc="5B96F2D2" w:tentative="1">
      <w:start w:val="1"/>
      <w:numFmt w:val="bullet"/>
      <w:lvlText w:val=""/>
      <w:lvlJc w:val="left"/>
      <w:pPr>
        <w:ind w:left="3960" w:hanging="360"/>
      </w:pPr>
      <w:rPr>
        <w:rFonts w:ascii="Wingdings" w:hAnsi="Wingdings" w:hint="default"/>
      </w:rPr>
    </w:lvl>
    <w:lvl w:ilvl="6" w:tplc="003C415C" w:tentative="1">
      <w:start w:val="1"/>
      <w:numFmt w:val="bullet"/>
      <w:lvlText w:val=""/>
      <w:lvlJc w:val="left"/>
      <w:pPr>
        <w:ind w:left="4680" w:hanging="360"/>
      </w:pPr>
      <w:rPr>
        <w:rFonts w:ascii="Symbol" w:hAnsi="Symbol" w:hint="default"/>
      </w:rPr>
    </w:lvl>
    <w:lvl w:ilvl="7" w:tplc="FCD06518" w:tentative="1">
      <w:start w:val="1"/>
      <w:numFmt w:val="bullet"/>
      <w:lvlText w:val="o"/>
      <w:lvlJc w:val="left"/>
      <w:pPr>
        <w:ind w:left="5400" w:hanging="360"/>
      </w:pPr>
      <w:rPr>
        <w:rFonts w:ascii="Courier New" w:hAnsi="Courier New" w:cs="Courier New" w:hint="default"/>
      </w:rPr>
    </w:lvl>
    <w:lvl w:ilvl="8" w:tplc="B6AEA7A4" w:tentative="1">
      <w:start w:val="1"/>
      <w:numFmt w:val="bullet"/>
      <w:lvlText w:val=""/>
      <w:lvlJc w:val="left"/>
      <w:pPr>
        <w:ind w:left="6120" w:hanging="360"/>
      </w:pPr>
      <w:rPr>
        <w:rFonts w:ascii="Wingdings" w:hAnsi="Wingdings" w:hint="default"/>
      </w:rPr>
    </w:lvl>
  </w:abstractNum>
  <w:abstractNum w:abstractNumId="1" w15:restartNumberingAfterBreak="0">
    <w:nsid w:val="576925F2"/>
    <w:multiLevelType w:val="hybridMultilevel"/>
    <w:tmpl w:val="B56446FE"/>
    <w:lvl w:ilvl="0" w:tplc="31585980">
      <w:start w:val="1"/>
      <w:numFmt w:val="decimal"/>
      <w:lvlText w:val="%1."/>
      <w:lvlJc w:val="left"/>
      <w:pPr>
        <w:ind w:left="359" w:hanging="360"/>
      </w:pPr>
      <w:rPr>
        <w:rFonts w:hint="default"/>
        <w:b w:val="0"/>
      </w:rPr>
    </w:lvl>
    <w:lvl w:ilvl="1" w:tplc="0892156C" w:tentative="1">
      <w:start w:val="1"/>
      <w:numFmt w:val="lowerLetter"/>
      <w:lvlText w:val="%2."/>
      <w:lvlJc w:val="left"/>
      <w:pPr>
        <w:ind w:left="1079" w:hanging="360"/>
      </w:pPr>
    </w:lvl>
    <w:lvl w:ilvl="2" w:tplc="2CC4BE28" w:tentative="1">
      <w:start w:val="1"/>
      <w:numFmt w:val="lowerRoman"/>
      <w:lvlText w:val="%3."/>
      <w:lvlJc w:val="right"/>
      <w:pPr>
        <w:ind w:left="1799" w:hanging="180"/>
      </w:pPr>
    </w:lvl>
    <w:lvl w:ilvl="3" w:tplc="82324978" w:tentative="1">
      <w:start w:val="1"/>
      <w:numFmt w:val="decimal"/>
      <w:lvlText w:val="%4."/>
      <w:lvlJc w:val="left"/>
      <w:pPr>
        <w:ind w:left="2519" w:hanging="360"/>
      </w:pPr>
    </w:lvl>
    <w:lvl w:ilvl="4" w:tplc="EBF0DA98" w:tentative="1">
      <w:start w:val="1"/>
      <w:numFmt w:val="lowerLetter"/>
      <w:lvlText w:val="%5."/>
      <w:lvlJc w:val="left"/>
      <w:pPr>
        <w:ind w:left="3239" w:hanging="360"/>
      </w:pPr>
    </w:lvl>
    <w:lvl w:ilvl="5" w:tplc="8ADA788A" w:tentative="1">
      <w:start w:val="1"/>
      <w:numFmt w:val="lowerRoman"/>
      <w:lvlText w:val="%6."/>
      <w:lvlJc w:val="right"/>
      <w:pPr>
        <w:ind w:left="3959" w:hanging="180"/>
      </w:pPr>
    </w:lvl>
    <w:lvl w:ilvl="6" w:tplc="B30C7268" w:tentative="1">
      <w:start w:val="1"/>
      <w:numFmt w:val="decimal"/>
      <w:lvlText w:val="%7."/>
      <w:lvlJc w:val="left"/>
      <w:pPr>
        <w:ind w:left="4679" w:hanging="360"/>
      </w:pPr>
    </w:lvl>
    <w:lvl w:ilvl="7" w:tplc="9924703A" w:tentative="1">
      <w:start w:val="1"/>
      <w:numFmt w:val="lowerLetter"/>
      <w:lvlText w:val="%8."/>
      <w:lvlJc w:val="left"/>
      <w:pPr>
        <w:ind w:left="5399" w:hanging="360"/>
      </w:pPr>
    </w:lvl>
    <w:lvl w:ilvl="8" w:tplc="D2BE4AAE" w:tentative="1">
      <w:start w:val="1"/>
      <w:numFmt w:val="lowerRoman"/>
      <w:lvlText w:val="%9."/>
      <w:lvlJc w:val="right"/>
      <w:pPr>
        <w:ind w:left="6119" w:hanging="180"/>
      </w:pPr>
    </w:lvl>
  </w:abstractNum>
  <w:num w:numId="1" w16cid:durableId="1798402639">
    <w:abstractNumId w:val="0"/>
  </w:num>
  <w:num w:numId="2" w16cid:durableId="856043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1B5E"/>
    <w:rsid w:val="001613B5"/>
    <w:rsid w:val="001721E6"/>
    <w:rsid w:val="00182455"/>
    <w:rsid w:val="001B573F"/>
    <w:rsid w:val="003E759E"/>
    <w:rsid w:val="006019FF"/>
    <w:rsid w:val="00641B5E"/>
    <w:rsid w:val="006824EF"/>
    <w:rsid w:val="006F5775"/>
    <w:rsid w:val="00712DA7"/>
    <w:rsid w:val="007D517D"/>
    <w:rsid w:val="007E0F53"/>
    <w:rsid w:val="00833455"/>
    <w:rsid w:val="00BE5CE9"/>
    <w:rsid w:val="00C61176"/>
    <w:rsid w:val="00E54F64"/>
    <w:rsid w:val="00E72161"/>
    <w:rsid w:val="00F4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590E"/>
  <w15:docId w15:val="{55158170-2438-4891-BDA2-1EE19B06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44"/>
        <w:szCs w:val="4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B5E"/>
    <w:rPr>
      <w:rFonts w:ascii="Calibri" w:eastAsia="Calibri" w:hAnsi="Calibri" w:cs="Times New Roman"/>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B5E"/>
    <w:pPr>
      <w:ind w:left="720"/>
      <w:contextualSpacing/>
    </w:pPr>
  </w:style>
  <w:style w:type="paragraph" w:styleId="BalloonText">
    <w:name w:val="Balloon Text"/>
    <w:basedOn w:val="Normal"/>
    <w:link w:val="BalloonTextChar"/>
    <w:uiPriority w:val="99"/>
    <w:semiHidden/>
    <w:unhideWhenUsed/>
    <w:rsid w:val="00641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B5E"/>
    <w:rPr>
      <w:rFonts w:ascii="Tahoma" w:eastAsia="Calibri" w:hAnsi="Tahoma" w:cs="Tahoma"/>
      <w:sz w:val="16"/>
      <w:szCs w:val="1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771</Words>
  <Characters>4399</Characters>
  <Application>Microsoft Office Word</Application>
  <DocSecurity>0</DocSecurity>
  <Lines>36</Lines>
  <Paragraphs>10</Paragraphs>
  <ScaleCrop>false</ScaleCrop>
  <Company>srd</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j.ismaili</dc:creator>
  <cp:lastModifiedBy>Jeton Ismaili</cp:lastModifiedBy>
  <cp:revision>10</cp:revision>
  <dcterms:created xsi:type="dcterms:W3CDTF">2015-11-20T12:14:00Z</dcterms:created>
  <dcterms:modified xsi:type="dcterms:W3CDTF">2022-12-13T11:30:00Z</dcterms:modified>
</cp:coreProperties>
</file>